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91E" w:rsidRDefault="0014080B">
      <w:r>
        <w:rPr>
          <w:noProof/>
        </w:rPr>
        <w:drawing>
          <wp:inline distT="0" distB="0" distL="0" distR="0" wp14:anchorId="52D97393" wp14:editId="7B33A23E">
            <wp:extent cx="2548467" cy="8191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I 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288" cy="820700"/>
                    </a:xfrm>
                    <a:prstGeom prst="rect">
                      <a:avLst/>
                    </a:prstGeom>
                  </pic:spPr>
                </pic:pic>
              </a:graphicData>
            </a:graphic>
          </wp:inline>
        </w:drawing>
      </w:r>
    </w:p>
    <w:p w:rsidR="00C3136C" w:rsidRPr="004E216D" w:rsidRDefault="007605DA" w:rsidP="00C3136C">
      <w:pPr>
        <w:spacing w:after="0"/>
        <w:rPr>
          <w:rFonts w:ascii="Trajan Pro" w:hAnsi="Trajan Pro"/>
          <w:b/>
          <w:color w:val="524F26"/>
          <w:sz w:val="24"/>
          <w:szCs w:val="24"/>
        </w:rPr>
      </w:pPr>
      <w:r>
        <w:rPr>
          <w:rFonts w:ascii="Trajan Pro" w:hAnsi="Trajan Pro"/>
          <w:b/>
          <w:color w:val="524F26"/>
          <w:sz w:val="24"/>
          <w:szCs w:val="24"/>
        </w:rPr>
        <w:t>Department of Planning and Community D</w:t>
      </w:r>
      <w:r w:rsidR="00C3136C" w:rsidRPr="004E216D">
        <w:rPr>
          <w:rFonts w:ascii="Trajan Pro" w:hAnsi="Trajan Pro"/>
          <w:b/>
          <w:color w:val="524F26"/>
          <w:sz w:val="24"/>
          <w:szCs w:val="24"/>
        </w:rPr>
        <w:t>evelopment</w:t>
      </w:r>
    </w:p>
    <w:p w:rsidR="00C3136C" w:rsidRDefault="00C3136C" w:rsidP="00C3136C">
      <w:pPr>
        <w:spacing w:after="0"/>
        <w:rPr>
          <w:rFonts w:ascii="Trajan Pro" w:hAnsi="Trajan Pro"/>
          <w:b/>
          <w:color w:val="524F26"/>
          <w:sz w:val="26"/>
          <w:szCs w:val="26"/>
        </w:rPr>
      </w:pPr>
    </w:p>
    <w:p w:rsidR="00B613DE" w:rsidRDefault="00C3136C" w:rsidP="009E1FA6">
      <w:pPr>
        <w:spacing w:after="0"/>
        <w:rPr>
          <w:rFonts w:ascii="Trajan Pro" w:hAnsi="Trajan Pro"/>
          <w:b/>
          <w:color w:val="524F26"/>
          <w:sz w:val="30"/>
          <w:szCs w:val="30"/>
        </w:rPr>
      </w:pPr>
      <w:r>
        <w:rPr>
          <w:rFonts w:ascii="Trajan Pro" w:hAnsi="Trajan Pro"/>
          <w:b/>
          <w:color w:val="524F26"/>
          <w:sz w:val="30"/>
          <w:szCs w:val="30"/>
        </w:rPr>
        <w:t>Shoreline Substantial</w:t>
      </w:r>
      <w:r w:rsidR="009E1FA6">
        <w:rPr>
          <w:rFonts w:ascii="Trajan Pro" w:hAnsi="Trajan Pro"/>
          <w:b/>
          <w:color w:val="524F26"/>
          <w:sz w:val="30"/>
          <w:szCs w:val="30"/>
        </w:rPr>
        <w:t xml:space="preserve"> Development Exemption Workshee</w:t>
      </w:r>
      <w:r w:rsidR="009811F9">
        <w:rPr>
          <w:rFonts w:ascii="Trajan Pro" w:hAnsi="Trajan Pro"/>
          <w:b/>
          <w:color w:val="524F26"/>
          <w:sz w:val="30"/>
          <w:szCs w:val="30"/>
        </w:rPr>
        <w:t>t</w:t>
      </w:r>
    </w:p>
    <w:p w:rsidR="009E1FA6" w:rsidRPr="009E1FA6" w:rsidRDefault="009E1FA6" w:rsidP="009E1FA6">
      <w:pPr>
        <w:spacing w:after="0"/>
        <w:rPr>
          <w:rFonts w:ascii="Trajan Pro" w:hAnsi="Trajan Pro"/>
          <w:b/>
          <w:color w:val="524F26"/>
          <w:sz w:val="30"/>
          <w:szCs w:val="30"/>
        </w:rPr>
      </w:pPr>
    </w:p>
    <w:p w:rsidR="00256A04" w:rsidRDefault="00256A04">
      <w:pPr>
        <w:rPr>
          <w:b/>
        </w:rPr>
      </w:pPr>
      <w:r w:rsidRPr="00256A04">
        <w:rPr>
          <w:b/>
        </w:rPr>
        <w:t>Project Information</w:t>
      </w:r>
    </w:p>
    <w:tbl>
      <w:tblPr>
        <w:tblStyle w:val="TableGrid"/>
        <w:tblW w:w="10975" w:type="dxa"/>
        <w:tblLook w:val="04A0" w:firstRow="1" w:lastRow="0" w:firstColumn="1" w:lastColumn="0" w:noHBand="0" w:noVBand="1"/>
      </w:tblPr>
      <w:tblGrid>
        <w:gridCol w:w="3595"/>
        <w:gridCol w:w="7380"/>
      </w:tblGrid>
      <w:tr w:rsidR="00256A04" w:rsidTr="00256A04">
        <w:tc>
          <w:tcPr>
            <w:tcW w:w="3595" w:type="dxa"/>
          </w:tcPr>
          <w:p w:rsidR="00256A04" w:rsidRPr="00C96238" w:rsidRDefault="00256A04" w:rsidP="00FB43B1">
            <w:pPr>
              <w:rPr>
                <w:b/>
              </w:rPr>
            </w:pPr>
            <w:r w:rsidRPr="00C96238">
              <w:rPr>
                <w:b/>
              </w:rPr>
              <w:t xml:space="preserve">Date </w:t>
            </w:r>
          </w:p>
        </w:tc>
        <w:tc>
          <w:tcPr>
            <w:tcW w:w="7380" w:type="dxa"/>
          </w:tcPr>
          <w:p w:rsidR="00256A04" w:rsidRDefault="00A4595A">
            <w:r w:rsidRPr="00A4595A">
              <w:t>October 4</w:t>
            </w:r>
            <w:r w:rsidR="00A96EFB" w:rsidRPr="00A4595A">
              <w:t>, 2017</w:t>
            </w:r>
          </w:p>
        </w:tc>
      </w:tr>
      <w:tr w:rsidR="00FB43B1" w:rsidTr="00256A04">
        <w:tc>
          <w:tcPr>
            <w:tcW w:w="3595" w:type="dxa"/>
          </w:tcPr>
          <w:p w:rsidR="00FB43B1" w:rsidRPr="00C96238" w:rsidRDefault="00FB43B1">
            <w:pPr>
              <w:rPr>
                <w:b/>
              </w:rPr>
            </w:pPr>
            <w:r w:rsidRPr="00C96238">
              <w:rPr>
                <w:b/>
              </w:rPr>
              <w:t>Project Name</w:t>
            </w:r>
          </w:p>
        </w:tc>
        <w:tc>
          <w:tcPr>
            <w:tcW w:w="7380" w:type="dxa"/>
          </w:tcPr>
          <w:p w:rsidR="00FB43B1" w:rsidRDefault="00B76A52">
            <w:r>
              <w:t>Stone</w:t>
            </w:r>
            <w:r w:rsidR="00B90A62">
              <w:t xml:space="preserve"> </w:t>
            </w:r>
            <w:r>
              <w:t>Pier/Ramp/Float</w:t>
            </w:r>
            <w:r w:rsidR="00B90A62">
              <w:t xml:space="preserve"> Replacement</w:t>
            </w:r>
            <w:r>
              <w:t xml:space="preserve"> and Railway Removal</w:t>
            </w:r>
          </w:p>
        </w:tc>
      </w:tr>
      <w:tr w:rsidR="00C41E17" w:rsidTr="00256A04">
        <w:tc>
          <w:tcPr>
            <w:tcW w:w="3595" w:type="dxa"/>
          </w:tcPr>
          <w:p w:rsidR="00C41E17" w:rsidRPr="00C96238" w:rsidRDefault="00C41E17">
            <w:pPr>
              <w:rPr>
                <w:b/>
              </w:rPr>
            </w:pPr>
            <w:r>
              <w:rPr>
                <w:b/>
              </w:rPr>
              <w:t>Project Address</w:t>
            </w:r>
          </w:p>
        </w:tc>
        <w:tc>
          <w:tcPr>
            <w:tcW w:w="7380" w:type="dxa"/>
          </w:tcPr>
          <w:p w:rsidR="00C41E17" w:rsidRDefault="00B76A52">
            <w:r>
              <w:t>6071 Crystal Springs Dr. NE</w:t>
            </w:r>
          </w:p>
        </w:tc>
      </w:tr>
      <w:tr w:rsidR="00C41E17" w:rsidTr="00256A04">
        <w:tc>
          <w:tcPr>
            <w:tcW w:w="3595" w:type="dxa"/>
          </w:tcPr>
          <w:p w:rsidR="00C41E17" w:rsidRPr="00C96238" w:rsidRDefault="00C41E17">
            <w:pPr>
              <w:rPr>
                <w:b/>
              </w:rPr>
            </w:pPr>
            <w:r>
              <w:rPr>
                <w:b/>
              </w:rPr>
              <w:t xml:space="preserve">Project Parcel Number </w:t>
            </w:r>
          </w:p>
        </w:tc>
        <w:tc>
          <w:tcPr>
            <w:tcW w:w="7380" w:type="dxa"/>
          </w:tcPr>
          <w:p w:rsidR="00C41E17" w:rsidRDefault="00B76A52">
            <w:r>
              <w:t>41420000080409</w:t>
            </w:r>
          </w:p>
        </w:tc>
      </w:tr>
      <w:tr w:rsidR="00256A04" w:rsidTr="00256A04">
        <w:tc>
          <w:tcPr>
            <w:tcW w:w="3595" w:type="dxa"/>
          </w:tcPr>
          <w:p w:rsidR="00256A04" w:rsidRPr="00C96238" w:rsidRDefault="00FB43B1">
            <w:pPr>
              <w:rPr>
                <w:b/>
              </w:rPr>
            </w:pPr>
            <w:r w:rsidRPr="00C96238">
              <w:rPr>
                <w:b/>
              </w:rPr>
              <w:t>Project Number</w:t>
            </w:r>
          </w:p>
        </w:tc>
        <w:tc>
          <w:tcPr>
            <w:tcW w:w="7380" w:type="dxa"/>
          </w:tcPr>
          <w:p w:rsidR="00256A04" w:rsidRDefault="006B0D15" w:rsidP="006E05BB">
            <w:r>
              <w:t>PLN</w:t>
            </w:r>
            <w:r w:rsidR="00B90A62">
              <w:t>50</w:t>
            </w:r>
            <w:r w:rsidR="00B76A52">
              <w:t>860</w:t>
            </w:r>
            <w:r w:rsidR="00FB43B1">
              <w:t xml:space="preserve"> SSDE</w:t>
            </w:r>
          </w:p>
        </w:tc>
      </w:tr>
      <w:tr w:rsidR="00256A04" w:rsidTr="00256A04">
        <w:tc>
          <w:tcPr>
            <w:tcW w:w="3595" w:type="dxa"/>
          </w:tcPr>
          <w:p w:rsidR="00256A04" w:rsidRPr="00C96238" w:rsidRDefault="00256A04">
            <w:pPr>
              <w:rPr>
                <w:b/>
              </w:rPr>
            </w:pPr>
            <w:r w:rsidRPr="00C96238">
              <w:rPr>
                <w:b/>
              </w:rPr>
              <w:t>Planner Assigned</w:t>
            </w:r>
          </w:p>
        </w:tc>
        <w:tc>
          <w:tcPr>
            <w:tcW w:w="7380" w:type="dxa"/>
          </w:tcPr>
          <w:p w:rsidR="00256A04" w:rsidRDefault="00B76A52">
            <w:r>
              <w:t>Annie Hillier</w:t>
            </w:r>
          </w:p>
        </w:tc>
      </w:tr>
    </w:tbl>
    <w:p w:rsidR="00256A04" w:rsidRDefault="00256A04"/>
    <w:p w:rsidR="00B613DE" w:rsidRPr="00B613DE" w:rsidRDefault="00B613DE">
      <w:pPr>
        <w:rPr>
          <w:b/>
        </w:rPr>
      </w:pPr>
      <w:r w:rsidRPr="00B613DE">
        <w:rPr>
          <w:b/>
        </w:rPr>
        <w:t>Brief Project Description</w:t>
      </w:r>
    </w:p>
    <w:tbl>
      <w:tblPr>
        <w:tblStyle w:val="TableGrid"/>
        <w:tblW w:w="10975" w:type="dxa"/>
        <w:tblLook w:val="04A0" w:firstRow="1" w:lastRow="0" w:firstColumn="1" w:lastColumn="0" w:noHBand="0" w:noVBand="1"/>
      </w:tblPr>
      <w:tblGrid>
        <w:gridCol w:w="10975"/>
      </w:tblGrid>
      <w:tr w:rsidR="00B613DE" w:rsidTr="00B03FBA">
        <w:tc>
          <w:tcPr>
            <w:tcW w:w="10975" w:type="dxa"/>
          </w:tcPr>
          <w:p w:rsidR="00B613DE" w:rsidRDefault="006E05BB" w:rsidP="0069411F">
            <w:r>
              <w:t>The project consists o</w:t>
            </w:r>
            <w:r w:rsidR="00CC5C19">
              <w:t xml:space="preserve">f </w:t>
            </w:r>
            <w:r w:rsidR="00D43942">
              <w:t>replacement of a</w:t>
            </w:r>
            <w:r w:rsidR="00B76A52">
              <w:t xml:space="preserve"> pier, ramp</w:t>
            </w:r>
            <w:r w:rsidR="00B90A62">
              <w:t>,</w:t>
            </w:r>
            <w:r w:rsidR="00B76A52">
              <w:t xml:space="preserve"> </w:t>
            </w:r>
            <w:r w:rsidR="00C4554F">
              <w:t>and floa</w:t>
            </w:r>
            <w:r w:rsidR="007605DA">
              <w:t>t (160 feet</w:t>
            </w:r>
            <w:r w:rsidR="00AD28F3">
              <w:t xml:space="preserve"> total)</w:t>
            </w:r>
            <w:r w:rsidR="00D43942">
              <w:t xml:space="preserve"> within the existing footprint</w:t>
            </w:r>
            <w:r w:rsidR="00C4554F">
              <w:t>, and</w:t>
            </w:r>
            <w:r w:rsidR="00767BFF">
              <w:t xml:space="preserve"> the removal and disposal of a</w:t>
            </w:r>
            <w:r w:rsidR="007605DA">
              <w:t xml:space="preserve"> 7</w:t>
            </w:r>
            <w:r w:rsidR="00102236">
              <w:t xml:space="preserve"> foot by </w:t>
            </w:r>
            <w:proofErr w:type="gramStart"/>
            <w:r w:rsidR="007605DA">
              <w:t>85 foot</w:t>
            </w:r>
            <w:proofErr w:type="gramEnd"/>
            <w:r w:rsidR="00C4554F">
              <w:t xml:space="preserve"> marine railway</w:t>
            </w:r>
            <w:r w:rsidR="00855A15">
              <w:t>.</w:t>
            </w:r>
            <w:r w:rsidR="002203B2">
              <w:t xml:space="preserve"> </w:t>
            </w:r>
            <w:r w:rsidR="007605DA" w:rsidRPr="0043509D">
              <w:t xml:space="preserve">The proposed </w:t>
            </w:r>
            <w:r w:rsidR="007605DA">
              <w:t>dock</w:t>
            </w:r>
            <w:r w:rsidR="007605DA" w:rsidRPr="0043509D">
              <w:t xml:space="preserve"> will </w:t>
            </w:r>
            <w:r w:rsidR="007605DA">
              <w:t>be comprised of a fully grated pier and ramp, and the float will include grating over 50% of the surface area. The dock height will be increased to meet current SMP sta</w:t>
            </w:r>
            <w:r w:rsidR="00324B21">
              <w:t>ndards</w:t>
            </w:r>
            <w:r w:rsidR="007605DA">
              <w:t xml:space="preserve">. </w:t>
            </w:r>
            <w:r w:rsidR="00F62EE0">
              <w:t xml:space="preserve">The </w:t>
            </w:r>
            <w:proofErr w:type="gramStart"/>
            <w:r w:rsidR="00F62EE0">
              <w:t>20 exist</w:t>
            </w:r>
            <w:r w:rsidR="007605DA">
              <w:t>ing</w:t>
            </w:r>
            <w:proofErr w:type="gramEnd"/>
            <w:r w:rsidR="007605DA">
              <w:t xml:space="preserve"> creosote treated piles will</w:t>
            </w:r>
            <w:r w:rsidR="00F62EE0">
              <w:t xml:space="preserve"> be removed and replaced with </w:t>
            </w:r>
            <w:r w:rsidR="003F00DF" w:rsidRPr="00BB7F81">
              <w:t>10</w:t>
            </w:r>
            <w:r w:rsidR="00F62EE0">
              <w:t xml:space="preserve"> galvanized steel piles. </w:t>
            </w:r>
            <w:r w:rsidR="004D12E0" w:rsidRPr="00B471C0">
              <w:t xml:space="preserve">The </w:t>
            </w:r>
            <w:r w:rsidR="00CC5C19" w:rsidRPr="00B471C0">
              <w:t xml:space="preserve">SSDE application and site plan are </w:t>
            </w:r>
            <w:r w:rsidR="00F3294D" w:rsidRPr="00B471C0">
              <w:t xml:space="preserve">provided in </w:t>
            </w:r>
            <w:r w:rsidR="00F3294D" w:rsidRPr="006F11B6">
              <w:t>Attachment A.</w:t>
            </w:r>
            <w:r w:rsidR="00F3294D">
              <w:t xml:space="preserve"> </w:t>
            </w:r>
          </w:p>
        </w:tc>
      </w:tr>
    </w:tbl>
    <w:p w:rsidR="0014080B" w:rsidRDefault="0014080B"/>
    <w:p w:rsidR="00B90A62" w:rsidRPr="008B57ED" w:rsidRDefault="00B90A62" w:rsidP="00B90A62">
      <w:pPr>
        <w:rPr>
          <w:b/>
        </w:rPr>
      </w:pPr>
      <w:r w:rsidRPr="008B57ED">
        <w:rPr>
          <w:b/>
        </w:rPr>
        <w:t>Environmental Review</w:t>
      </w:r>
    </w:p>
    <w:tbl>
      <w:tblPr>
        <w:tblStyle w:val="TableGrid"/>
        <w:tblW w:w="0" w:type="auto"/>
        <w:tblLook w:val="04A0" w:firstRow="1" w:lastRow="0" w:firstColumn="1" w:lastColumn="0" w:noHBand="0" w:noVBand="1"/>
      </w:tblPr>
      <w:tblGrid>
        <w:gridCol w:w="10790"/>
      </w:tblGrid>
      <w:tr w:rsidR="00B90A62" w:rsidRPr="008B57ED" w:rsidTr="00947772">
        <w:tc>
          <w:tcPr>
            <w:tcW w:w="10790" w:type="dxa"/>
          </w:tcPr>
          <w:p w:rsidR="00B90A62" w:rsidRPr="008B57ED" w:rsidRDefault="00B90A62" w:rsidP="00947772">
            <w:pPr>
              <w:keepLines/>
              <w:tabs>
                <w:tab w:val="left" w:pos="-1440"/>
                <w:tab w:val="left" w:pos="-720"/>
                <w:tab w:val="left" w:pos="0"/>
                <w:tab w:val="left" w:pos="1108"/>
                <w:tab w:val="left" w:pos="1504"/>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sidRPr="008B57ED">
              <w:rPr>
                <w:rFonts w:ascii="Calibri" w:hAnsi="Calibri"/>
                <w:spacing w:val="-3"/>
              </w:rPr>
              <w:t xml:space="preserve">The </w:t>
            </w:r>
            <w:r>
              <w:rPr>
                <w:rFonts w:ascii="Calibri" w:hAnsi="Calibri"/>
                <w:spacing w:val="-3"/>
              </w:rPr>
              <w:t xml:space="preserve">project is </w:t>
            </w:r>
            <w:r w:rsidRPr="008B57ED">
              <w:rPr>
                <w:rFonts w:ascii="Calibri" w:hAnsi="Calibri"/>
                <w:spacing w:val="-3"/>
              </w:rPr>
              <w:t xml:space="preserve">subject to State Environmental Policy Act (SEPA) review as provided in Washington Administrative Code (WAC 197-11-800).  </w:t>
            </w:r>
            <w:r>
              <w:rPr>
                <w:rFonts w:ascii="Calibri" w:hAnsi="Calibri"/>
                <w:spacing w:val="-3"/>
              </w:rPr>
              <w:t>A SEPA checklist was submitted with the application (</w:t>
            </w:r>
            <w:r w:rsidRPr="006F11B6">
              <w:rPr>
                <w:rFonts w:ascii="Calibri" w:hAnsi="Calibri"/>
                <w:spacing w:val="-3"/>
              </w:rPr>
              <w:t>Attachment B).</w:t>
            </w:r>
            <w:r>
              <w:rPr>
                <w:rFonts w:ascii="Calibri" w:hAnsi="Calibri"/>
                <w:spacing w:val="-3"/>
              </w:rPr>
              <w:t xml:space="preserve"> A combined notice of application/SEPA comment period was </w:t>
            </w:r>
            <w:r w:rsidRPr="00BB7F81">
              <w:rPr>
                <w:rFonts w:ascii="Calibri" w:hAnsi="Calibri"/>
                <w:spacing w:val="-3"/>
              </w:rPr>
              <w:t>issued on</w:t>
            </w:r>
            <w:r w:rsidR="00B76A52" w:rsidRPr="00BB7F81">
              <w:rPr>
                <w:rFonts w:ascii="Calibri" w:hAnsi="Calibri"/>
                <w:spacing w:val="-3"/>
              </w:rPr>
              <w:t xml:space="preserve"> </w:t>
            </w:r>
            <w:r w:rsidR="00B1544D" w:rsidRPr="00BB7F81">
              <w:rPr>
                <w:rFonts w:ascii="Calibri" w:hAnsi="Calibri"/>
                <w:spacing w:val="-3"/>
              </w:rPr>
              <w:t>July 28</w:t>
            </w:r>
            <w:r w:rsidRPr="00BB7F81">
              <w:rPr>
                <w:rFonts w:ascii="Calibri" w:hAnsi="Calibri"/>
                <w:spacing w:val="-3"/>
              </w:rPr>
              <w:t>, 2017</w:t>
            </w:r>
            <w:r w:rsidR="00A4595A">
              <w:rPr>
                <w:rFonts w:ascii="Calibri" w:hAnsi="Calibri"/>
                <w:spacing w:val="-3"/>
              </w:rPr>
              <w:t>, with the comment period ending on August 11, 2017</w:t>
            </w:r>
            <w:r w:rsidRPr="00E12B96">
              <w:rPr>
                <w:rFonts w:ascii="Calibri" w:hAnsi="Calibri"/>
                <w:spacing w:val="-3"/>
              </w:rPr>
              <w:t>.</w:t>
            </w:r>
            <w:r w:rsidRPr="00B569CC">
              <w:rPr>
                <w:rFonts w:ascii="Calibri" w:hAnsi="Calibri"/>
                <w:spacing w:val="-3"/>
              </w:rPr>
              <w:t xml:space="preserve"> </w:t>
            </w:r>
            <w:r w:rsidR="00BB7F81" w:rsidRPr="00BB7F81">
              <w:rPr>
                <w:rFonts w:ascii="Calibri" w:hAnsi="Calibri"/>
                <w:spacing w:val="-3"/>
              </w:rPr>
              <w:t>No</w:t>
            </w:r>
            <w:r w:rsidRPr="00B569CC">
              <w:rPr>
                <w:rFonts w:ascii="Calibri" w:hAnsi="Calibri"/>
                <w:spacing w:val="-3"/>
              </w:rPr>
              <w:t xml:space="preserve"> public comments were received.</w:t>
            </w:r>
            <w:r>
              <w:rPr>
                <w:rFonts w:ascii="Calibri" w:hAnsi="Calibri"/>
                <w:spacing w:val="-3"/>
              </w:rPr>
              <w:t xml:space="preserve"> </w:t>
            </w:r>
          </w:p>
        </w:tc>
      </w:tr>
    </w:tbl>
    <w:p w:rsidR="00B90A62" w:rsidRDefault="00B90A62"/>
    <w:p w:rsidR="00B613DE" w:rsidRPr="00B613DE" w:rsidRDefault="00B613DE">
      <w:pPr>
        <w:rPr>
          <w:b/>
        </w:rPr>
      </w:pPr>
      <w:r w:rsidRPr="00B613DE">
        <w:rPr>
          <w:b/>
        </w:rPr>
        <w:t>Site Characteristics</w:t>
      </w:r>
    </w:p>
    <w:tbl>
      <w:tblPr>
        <w:tblStyle w:val="TableGrid"/>
        <w:tblW w:w="10975" w:type="dxa"/>
        <w:tblLook w:val="04A0" w:firstRow="1" w:lastRow="0" w:firstColumn="1" w:lastColumn="0" w:noHBand="0" w:noVBand="1"/>
      </w:tblPr>
      <w:tblGrid>
        <w:gridCol w:w="3596"/>
        <w:gridCol w:w="3779"/>
        <w:gridCol w:w="3600"/>
      </w:tblGrid>
      <w:tr w:rsidR="00B613DE" w:rsidTr="00256A04">
        <w:trPr>
          <w:trHeight w:val="259"/>
        </w:trPr>
        <w:tc>
          <w:tcPr>
            <w:tcW w:w="3596" w:type="dxa"/>
            <w:vAlign w:val="center"/>
          </w:tcPr>
          <w:p w:rsidR="00B613DE" w:rsidRPr="00AB61A4" w:rsidRDefault="00B613DE" w:rsidP="00B613DE">
            <w:pPr>
              <w:rPr>
                <w:b/>
              </w:rPr>
            </w:pPr>
            <w:r w:rsidRPr="00AB61A4">
              <w:rPr>
                <w:b/>
              </w:rPr>
              <w:t>Shoreline Designation</w:t>
            </w:r>
          </w:p>
        </w:tc>
        <w:tc>
          <w:tcPr>
            <w:tcW w:w="7379" w:type="dxa"/>
            <w:gridSpan w:val="2"/>
            <w:vAlign w:val="center"/>
          </w:tcPr>
          <w:p w:rsidR="00B613DE" w:rsidRDefault="003E5391" w:rsidP="00B613DE">
            <w:r>
              <w:t xml:space="preserve">Shoreline Residential </w:t>
            </w:r>
            <w:r w:rsidR="00F62EE0">
              <w:t>Conservancy</w:t>
            </w:r>
          </w:p>
        </w:tc>
      </w:tr>
      <w:tr w:rsidR="00B613DE" w:rsidTr="00AD28F3">
        <w:trPr>
          <w:trHeight w:val="259"/>
        </w:trPr>
        <w:tc>
          <w:tcPr>
            <w:tcW w:w="3596" w:type="dxa"/>
            <w:vAlign w:val="center"/>
          </w:tcPr>
          <w:p w:rsidR="00B613DE" w:rsidRPr="00AB61A4" w:rsidRDefault="00B613DE" w:rsidP="00B613DE">
            <w:pPr>
              <w:rPr>
                <w:b/>
              </w:rPr>
            </w:pPr>
            <w:r w:rsidRPr="00AB61A4">
              <w:rPr>
                <w:b/>
              </w:rPr>
              <w:t>Aquatic Designation</w:t>
            </w:r>
          </w:p>
        </w:tc>
        <w:tc>
          <w:tcPr>
            <w:tcW w:w="7379" w:type="dxa"/>
            <w:gridSpan w:val="2"/>
            <w:shd w:val="clear" w:color="auto" w:fill="auto"/>
            <w:vAlign w:val="center"/>
          </w:tcPr>
          <w:p w:rsidR="00B613DE" w:rsidRPr="00AD28F3" w:rsidRDefault="006E05BB" w:rsidP="00B613DE">
            <w:pPr>
              <w:rPr>
                <w:highlight w:val="cyan"/>
              </w:rPr>
            </w:pPr>
            <w:r w:rsidRPr="00767BFF">
              <w:t>Aquatic</w:t>
            </w:r>
          </w:p>
        </w:tc>
      </w:tr>
      <w:tr w:rsidR="00B613DE" w:rsidTr="00AD28F3">
        <w:trPr>
          <w:trHeight w:val="259"/>
        </w:trPr>
        <w:tc>
          <w:tcPr>
            <w:tcW w:w="3596" w:type="dxa"/>
            <w:vAlign w:val="center"/>
          </w:tcPr>
          <w:p w:rsidR="00B613DE" w:rsidRPr="00AB61A4" w:rsidRDefault="00B613DE" w:rsidP="00B613DE">
            <w:pPr>
              <w:rPr>
                <w:b/>
              </w:rPr>
            </w:pPr>
            <w:r w:rsidRPr="00AB61A4">
              <w:rPr>
                <w:b/>
              </w:rPr>
              <w:t xml:space="preserve">Geomorphic </w:t>
            </w:r>
            <w:proofErr w:type="spellStart"/>
            <w:r w:rsidRPr="00AB61A4">
              <w:rPr>
                <w:b/>
              </w:rPr>
              <w:t>Shoretype</w:t>
            </w:r>
            <w:proofErr w:type="spellEnd"/>
          </w:p>
        </w:tc>
        <w:tc>
          <w:tcPr>
            <w:tcW w:w="7379" w:type="dxa"/>
            <w:gridSpan w:val="2"/>
            <w:shd w:val="clear" w:color="auto" w:fill="auto"/>
            <w:vAlign w:val="center"/>
          </w:tcPr>
          <w:p w:rsidR="00B613DE" w:rsidRPr="001A681A" w:rsidRDefault="00AD28F3" w:rsidP="00B613DE">
            <w:pPr>
              <w:rPr>
                <w:highlight w:val="cyan"/>
              </w:rPr>
            </w:pPr>
            <w:r w:rsidRPr="00767BFF">
              <w:t>Low bank</w:t>
            </w:r>
          </w:p>
        </w:tc>
      </w:tr>
      <w:tr w:rsidR="00B613DE" w:rsidTr="00256A04">
        <w:trPr>
          <w:trHeight w:val="259"/>
        </w:trPr>
        <w:tc>
          <w:tcPr>
            <w:tcW w:w="3596" w:type="dxa"/>
            <w:vAlign w:val="center"/>
          </w:tcPr>
          <w:p w:rsidR="00B613DE" w:rsidRPr="00AB61A4" w:rsidRDefault="00B613DE" w:rsidP="00B613DE">
            <w:pPr>
              <w:rPr>
                <w:b/>
              </w:rPr>
            </w:pPr>
            <w:r w:rsidRPr="00AB61A4">
              <w:rPr>
                <w:b/>
              </w:rPr>
              <w:t>Shoreline buffer</w:t>
            </w:r>
          </w:p>
        </w:tc>
        <w:tc>
          <w:tcPr>
            <w:tcW w:w="7379" w:type="dxa"/>
            <w:gridSpan w:val="2"/>
            <w:vAlign w:val="center"/>
          </w:tcPr>
          <w:p w:rsidR="00B613DE" w:rsidRPr="00DA1378" w:rsidRDefault="00767BFF" w:rsidP="00B613DE">
            <w:r w:rsidRPr="00DA1378">
              <w:t>115</w:t>
            </w:r>
            <w:r w:rsidR="00CB6961" w:rsidRPr="00DA1378">
              <w:t xml:space="preserve"> feet</w:t>
            </w:r>
          </w:p>
        </w:tc>
      </w:tr>
      <w:tr w:rsidR="00B613DE" w:rsidTr="00256A04">
        <w:trPr>
          <w:trHeight w:val="259"/>
        </w:trPr>
        <w:tc>
          <w:tcPr>
            <w:tcW w:w="3596" w:type="dxa"/>
            <w:vAlign w:val="center"/>
          </w:tcPr>
          <w:p w:rsidR="00B613DE" w:rsidRPr="00AB61A4" w:rsidRDefault="00B613DE" w:rsidP="00B613DE">
            <w:pPr>
              <w:pStyle w:val="ListParagraph"/>
              <w:rPr>
                <w:b/>
              </w:rPr>
            </w:pPr>
            <w:r w:rsidRPr="00AB61A4">
              <w:rPr>
                <w:b/>
              </w:rPr>
              <w:t>Zone 1</w:t>
            </w:r>
          </w:p>
        </w:tc>
        <w:tc>
          <w:tcPr>
            <w:tcW w:w="7379" w:type="dxa"/>
            <w:gridSpan w:val="2"/>
            <w:vAlign w:val="center"/>
          </w:tcPr>
          <w:p w:rsidR="00B613DE" w:rsidRPr="001A681A" w:rsidRDefault="00E44DF6" w:rsidP="00B613DE">
            <w:pPr>
              <w:rPr>
                <w:highlight w:val="cyan"/>
              </w:rPr>
            </w:pPr>
            <w:r w:rsidRPr="00767BFF">
              <w:t>30 feet</w:t>
            </w:r>
            <w:r w:rsidR="00AB61A4" w:rsidRPr="00767BFF">
              <w:t xml:space="preserve"> from OWHM</w:t>
            </w:r>
            <w:r w:rsidR="00CB6961" w:rsidRPr="00767BFF">
              <w:t xml:space="preserve"> </w:t>
            </w:r>
          </w:p>
        </w:tc>
      </w:tr>
      <w:tr w:rsidR="00B613DE" w:rsidTr="00256A04">
        <w:trPr>
          <w:trHeight w:val="259"/>
        </w:trPr>
        <w:tc>
          <w:tcPr>
            <w:tcW w:w="3596" w:type="dxa"/>
            <w:vAlign w:val="center"/>
          </w:tcPr>
          <w:p w:rsidR="00B613DE" w:rsidRPr="00AB61A4" w:rsidRDefault="00B613DE" w:rsidP="00B613DE">
            <w:pPr>
              <w:pStyle w:val="ListParagraph"/>
              <w:rPr>
                <w:b/>
              </w:rPr>
            </w:pPr>
            <w:r w:rsidRPr="00AB61A4">
              <w:rPr>
                <w:b/>
              </w:rPr>
              <w:t>Zone 2</w:t>
            </w:r>
          </w:p>
        </w:tc>
        <w:tc>
          <w:tcPr>
            <w:tcW w:w="7379" w:type="dxa"/>
            <w:gridSpan w:val="2"/>
            <w:vAlign w:val="center"/>
          </w:tcPr>
          <w:p w:rsidR="00B613DE" w:rsidRPr="001A681A" w:rsidRDefault="00767BFF" w:rsidP="00B613DE">
            <w:pPr>
              <w:rPr>
                <w:highlight w:val="cyan"/>
              </w:rPr>
            </w:pPr>
            <w:r w:rsidRPr="00767BFF">
              <w:t>8</w:t>
            </w:r>
            <w:r w:rsidR="00CB6961" w:rsidRPr="00767BFF">
              <w:t>5 feet</w:t>
            </w:r>
          </w:p>
        </w:tc>
      </w:tr>
      <w:tr w:rsidR="00B613DE" w:rsidTr="00256A04">
        <w:trPr>
          <w:trHeight w:val="259"/>
        </w:trPr>
        <w:tc>
          <w:tcPr>
            <w:tcW w:w="3596" w:type="dxa"/>
            <w:vAlign w:val="center"/>
          </w:tcPr>
          <w:p w:rsidR="00B613DE" w:rsidRPr="00AB61A4" w:rsidRDefault="00B613DE" w:rsidP="00B613DE">
            <w:pPr>
              <w:rPr>
                <w:b/>
              </w:rPr>
            </w:pPr>
            <w:r w:rsidRPr="00AB61A4">
              <w:rPr>
                <w:b/>
              </w:rPr>
              <w:t>Zoning Designation</w:t>
            </w:r>
          </w:p>
        </w:tc>
        <w:tc>
          <w:tcPr>
            <w:tcW w:w="7379" w:type="dxa"/>
            <w:gridSpan w:val="2"/>
            <w:vAlign w:val="center"/>
          </w:tcPr>
          <w:p w:rsidR="00B613DE" w:rsidRPr="001A681A" w:rsidRDefault="003E5391" w:rsidP="00B613DE">
            <w:pPr>
              <w:rPr>
                <w:highlight w:val="cyan"/>
              </w:rPr>
            </w:pPr>
            <w:r w:rsidRPr="00767BFF">
              <w:t>R-2</w:t>
            </w:r>
          </w:p>
        </w:tc>
      </w:tr>
      <w:tr w:rsidR="00B613DE" w:rsidTr="00256A04">
        <w:trPr>
          <w:trHeight w:val="259"/>
        </w:trPr>
        <w:tc>
          <w:tcPr>
            <w:tcW w:w="3596" w:type="dxa"/>
            <w:vAlign w:val="center"/>
          </w:tcPr>
          <w:p w:rsidR="00B613DE" w:rsidRPr="00AB61A4" w:rsidRDefault="00B613DE" w:rsidP="00B613DE">
            <w:pPr>
              <w:rPr>
                <w:b/>
              </w:rPr>
            </w:pPr>
            <w:r w:rsidRPr="00AB61A4">
              <w:rPr>
                <w:b/>
              </w:rPr>
              <w:t>Dimensional Standards</w:t>
            </w:r>
          </w:p>
        </w:tc>
        <w:tc>
          <w:tcPr>
            <w:tcW w:w="3779" w:type="dxa"/>
            <w:vAlign w:val="center"/>
          </w:tcPr>
          <w:p w:rsidR="00B613DE" w:rsidRPr="004D501B" w:rsidRDefault="00B613DE" w:rsidP="00B613DE">
            <w:pPr>
              <w:rPr>
                <w:i/>
              </w:rPr>
            </w:pPr>
            <w:r w:rsidRPr="004D501B">
              <w:rPr>
                <w:i/>
              </w:rPr>
              <w:t>Required</w:t>
            </w:r>
          </w:p>
        </w:tc>
        <w:tc>
          <w:tcPr>
            <w:tcW w:w="3600" w:type="dxa"/>
            <w:vAlign w:val="center"/>
          </w:tcPr>
          <w:p w:rsidR="00B613DE" w:rsidRPr="004D501B" w:rsidRDefault="00B613DE" w:rsidP="00B613DE">
            <w:pPr>
              <w:rPr>
                <w:i/>
              </w:rPr>
            </w:pPr>
            <w:r w:rsidRPr="004D501B">
              <w:rPr>
                <w:i/>
              </w:rPr>
              <w:t>Proposed</w:t>
            </w:r>
          </w:p>
        </w:tc>
      </w:tr>
      <w:tr w:rsidR="006E05BB" w:rsidTr="001806A7">
        <w:trPr>
          <w:trHeight w:val="259"/>
        </w:trPr>
        <w:tc>
          <w:tcPr>
            <w:tcW w:w="3596" w:type="dxa"/>
            <w:vAlign w:val="center"/>
          </w:tcPr>
          <w:p w:rsidR="006E05BB" w:rsidRPr="00AB61A4" w:rsidRDefault="006E05BB" w:rsidP="00B613DE">
            <w:pPr>
              <w:ind w:left="697"/>
              <w:rPr>
                <w:b/>
              </w:rPr>
            </w:pPr>
            <w:r w:rsidRPr="00AB61A4">
              <w:rPr>
                <w:b/>
              </w:rPr>
              <w:t>30% side yard</w:t>
            </w:r>
          </w:p>
        </w:tc>
        <w:tc>
          <w:tcPr>
            <w:tcW w:w="7379" w:type="dxa"/>
            <w:gridSpan w:val="2"/>
            <w:vMerge w:val="restart"/>
            <w:vAlign w:val="center"/>
          </w:tcPr>
          <w:p w:rsidR="006E05BB" w:rsidRPr="001A681A" w:rsidRDefault="006B0D15" w:rsidP="00B613DE">
            <w:pPr>
              <w:rPr>
                <w:highlight w:val="cyan"/>
              </w:rPr>
            </w:pPr>
            <w:r w:rsidRPr="00767BFF">
              <w:t xml:space="preserve">Upland dimensional standards do not apply to overwater structures. </w:t>
            </w:r>
            <w:r w:rsidR="006003FB" w:rsidRPr="00767BFF">
              <w:t>The existing and proposed structure meets the 10-foot side yard setback for overwater structures</w:t>
            </w:r>
            <w:r w:rsidR="001800C7">
              <w:t xml:space="preserve"> (SMP 6.3.7.6</w:t>
            </w:r>
            <w:r w:rsidR="003F00DF">
              <w:t>.3</w:t>
            </w:r>
            <w:r w:rsidR="001800C7">
              <w:t>(a))</w:t>
            </w:r>
            <w:r w:rsidR="006003FB" w:rsidRPr="00767BFF">
              <w:t xml:space="preserve">. </w:t>
            </w:r>
          </w:p>
        </w:tc>
      </w:tr>
      <w:tr w:rsidR="006E05BB" w:rsidTr="001806A7">
        <w:trPr>
          <w:trHeight w:val="259"/>
        </w:trPr>
        <w:tc>
          <w:tcPr>
            <w:tcW w:w="3596" w:type="dxa"/>
            <w:vAlign w:val="center"/>
          </w:tcPr>
          <w:p w:rsidR="006E05BB" w:rsidRPr="00AB61A4" w:rsidRDefault="006E05BB" w:rsidP="00B613DE">
            <w:pPr>
              <w:ind w:left="697"/>
              <w:rPr>
                <w:b/>
              </w:rPr>
            </w:pPr>
            <w:r w:rsidRPr="00AB61A4">
              <w:rPr>
                <w:b/>
              </w:rPr>
              <w:t>Side yard</w:t>
            </w:r>
          </w:p>
        </w:tc>
        <w:tc>
          <w:tcPr>
            <w:tcW w:w="7379" w:type="dxa"/>
            <w:gridSpan w:val="2"/>
            <w:vMerge/>
            <w:vAlign w:val="center"/>
          </w:tcPr>
          <w:p w:rsidR="006E05BB" w:rsidRDefault="006E05BB" w:rsidP="00B613DE"/>
        </w:tc>
      </w:tr>
      <w:tr w:rsidR="006E05BB" w:rsidTr="001806A7">
        <w:trPr>
          <w:trHeight w:val="259"/>
        </w:trPr>
        <w:tc>
          <w:tcPr>
            <w:tcW w:w="3596" w:type="dxa"/>
            <w:vAlign w:val="center"/>
          </w:tcPr>
          <w:p w:rsidR="006E05BB" w:rsidRPr="00AB61A4" w:rsidRDefault="006E05BB" w:rsidP="00B613DE">
            <w:pPr>
              <w:ind w:left="697"/>
              <w:rPr>
                <w:b/>
              </w:rPr>
            </w:pPr>
            <w:r w:rsidRPr="00AB61A4">
              <w:rPr>
                <w:b/>
              </w:rPr>
              <w:t>Front yard</w:t>
            </w:r>
          </w:p>
        </w:tc>
        <w:tc>
          <w:tcPr>
            <w:tcW w:w="7379" w:type="dxa"/>
            <w:gridSpan w:val="2"/>
            <w:vMerge/>
            <w:vAlign w:val="center"/>
          </w:tcPr>
          <w:p w:rsidR="006E05BB" w:rsidRDefault="006E05BB" w:rsidP="00B613DE"/>
        </w:tc>
      </w:tr>
      <w:tr w:rsidR="006E05BB" w:rsidTr="001806A7">
        <w:trPr>
          <w:trHeight w:val="259"/>
        </w:trPr>
        <w:tc>
          <w:tcPr>
            <w:tcW w:w="3596" w:type="dxa"/>
            <w:vAlign w:val="center"/>
          </w:tcPr>
          <w:p w:rsidR="006E05BB" w:rsidRPr="00AB61A4" w:rsidRDefault="006E05BB" w:rsidP="00B613DE">
            <w:pPr>
              <w:ind w:left="697"/>
              <w:rPr>
                <w:b/>
              </w:rPr>
            </w:pPr>
            <w:r w:rsidRPr="00AB61A4">
              <w:rPr>
                <w:b/>
              </w:rPr>
              <w:t>Height</w:t>
            </w:r>
          </w:p>
        </w:tc>
        <w:tc>
          <w:tcPr>
            <w:tcW w:w="7379" w:type="dxa"/>
            <w:gridSpan w:val="2"/>
            <w:vMerge/>
            <w:vAlign w:val="center"/>
          </w:tcPr>
          <w:p w:rsidR="006E05BB" w:rsidRDefault="006E05BB" w:rsidP="00B613DE"/>
        </w:tc>
      </w:tr>
      <w:tr w:rsidR="006E05BB" w:rsidTr="001806A7">
        <w:trPr>
          <w:trHeight w:val="259"/>
        </w:trPr>
        <w:tc>
          <w:tcPr>
            <w:tcW w:w="3596" w:type="dxa"/>
            <w:vAlign w:val="center"/>
          </w:tcPr>
          <w:p w:rsidR="006E05BB" w:rsidRPr="00AB61A4" w:rsidRDefault="006E05BB" w:rsidP="00B613DE">
            <w:pPr>
              <w:ind w:left="697"/>
              <w:rPr>
                <w:b/>
              </w:rPr>
            </w:pPr>
            <w:r w:rsidRPr="00AB61A4">
              <w:rPr>
                <w:b/>
              </w:rPr>
              <w:t>Lot coverage</w:t>
            </w:r>
          </w:p>
        </w:tc>
        <w:tc>
          <w:tcPr>
            <w:tcW w:w="7379" w:type="dxa"/>
            <w:gridSpan w:val="2"/>
            <w:vMerge/>
            <w:vAlign w:val="center"/>
          </w:tcPr>
          <w:p w:rsidR="006E05BB" w:rsidRDefault="006E05BB" w:rsidP="00B613DE"/>
        </w:tc>
      </w:tr>
    </w:tbl>
    <w:p w:rsidR="0014080B" w:rsidRDefault="0014080B" w:rsidP="00102236">
      <w:pPr>
        <w:ind w:firstLine="720"/>
      </w:pPr>
    </w:p>
    <w:p w:rsidR="00B613DE" w:rsidRPr="00B613DE" w:rsidRDefault="00B613DE">
      <w:pPr>
        <w:rPr>
          <w:b/>
        </w:rPr>
      </w:pPr>
      <w:r>
        <w:rPr>
          <w:b/>
        </w:rPr>
        <w:t>Environmental Impacts</w:t>
      </w:r>
      <w:r w:rsidR="009819D3">
        <w:rPr>
          <w:b/>
        </w:rPr>
        <w:t xml:space="preserve"> (SMP Section 4.1.2) </w:t>
      </w:r>
    </w:p>
    <w:tbl>
      <w:tblPr>
        <w:tblStyle w:val="TableGrid"/>
        <w:tblW w:w="10975" w:type="dxa"/>
        <w:tblLook w:val="04A0" w:firstRow="1" w:lastRow="0" w:firstColumn="1" w:lastColumn="0" w:noHBand="0" w:noVBand="1"/>
      </w:tblPr>
      <w:tblGrid>
        <w:gridCol w:w="3595"/>
        <w:gridCol w:w="7380"/>
      </w:tblGrid>
      <w:tr w:rsidR="00B613DE" w:rsidTr="00B613DE">
        <w:tc>
          <w:tcPr>
            <w:tcW w:w="3595" w:type="dxa"/>
          </w:tcPr>
          <w:p w:rsidR="00B613DE" w:rsidRPr="00AB61A4" w:rsidRDefault="00B613DE">
            <w:pPr>
              <w:rPr>
                <w:b/>
              </w:rPr>
            </w:pPr>
            <w:r w:rsidRPr="00AB61A4">
              <w:rPr>
                <w:b/>
              </w:rPr>
              <w:t>Type</w:t>
            </w:r>
          </w:p>
        </w:tc>
        <w:tc>
          <w:tcPr>
            <w:tcW w:w="7380" w:type="dxa"/>
          </w:tcPr>
          <w:p w:rsidR="00B613DE" w:rsidRDefault="00FB479E">
            <w:sdt>
              <w:sdtPr>
                <w:id w:val="399872588"/>
                <w14:checkbox>
                  <w14:checked w14:val="0"/>
                  <w14:checkedState w14:val="2612" w14:font="MS Gothic"/>
                  <w14:uncheckedState w14:val="2610" w14:font="MS Gothic"/>
                </w14:checkbox>
              </w:sdtPr>
              <w:sdtEndPr/>
              <w:sdtContent>
                <w:r w:rsidR="00FC6148">
                  <w:rPr>
                    <w:rFonts w:ascii="MS Gothic" w:eastAsia="MS Gothic" w:hAnsi="MS Gothic" w:hint="eastAsia"/>
                  </w:rPr>
                  <w:t>☐</w:t>
                </w:r>
              </w:sdtContent>
            </w:sdt>
            <w:r w:rsidR="00B613DE">
              <w:t xml:space="preserve">  Vegetation Disturbance</w:t>
            </w:r>
          </w:p>
          <w:p w:rsidR="00B613DE" w:rsidRDefault="00FB479E" w:rsidP="00B613DE">
            <w:sdt>
              <w:sdtPr>
                <w:id w:val="1659271328"/>
                <w14:checkbox>
                  <w14:checked w14:val="0"/>
                  <w14:checkedState w14:val="2612" w14:font="MS Gothic"/>
                  <w14:uncheckedState w14:val="2610" w14:font="MS Gothic"/>
                </w14:checkbox>
              </w:sdtPr>
              <w:sdtEndPr/>
              <w:sdtContent>
                <w:r w:rsidR="006E05BB">
                  <w:rPr>
                    <w:rFonts w:ascii="MS Gothic" w:eastAsia="MS Gothic" w:hAnsi="MS Gothic" w:hint="eastAsia"/>
                  </w:rPr>
                  <w:t>☐</w:t>
                </w:r>
              </w:sdtContent>
            </w:sdt>
            <w:r w:rsidR="00AB61A4">
              <w:t xml:space="preserve">  </w:t>
            </w:r>
            <w:r w:rsidR="00B613DE">
              <w:t>Net New Impervious Surface Area</w:t>
            </w:r>
          </w:p>
          <w:p w:rsidR="00B613DE" w:rsidRDefault="00FB479E" w:rsidP="00B613DE">
            <w:sdt>
              <w:sdtPr>
                <w:id w:val="-531966499"/>
                <w14:checkbox>
                  <w14:checked w14:val="0"/>
                  <w14:checkedState w14:val="2612" w14:font="MS Gothic"/>
                  <w14:uncheckedState w14:val="2610" w14:font="MS Gothic"/>
                </w14:checkbox>
              </w:sdtPr>
              <w:sdtEndPr/>
              <w:sdtContent>
                <w:r w:rsidR="001A681A">
                  <w:rPr>
                    <w:rFonts w:ascii="MS Gothic" w:eastAsia="MS Gothic" w:hAnsi="MS Gothic" w:hint="eastAsia"/>
                  </w:rPr>
                  <w:t>☐</w:t>
                </w:r>
              </w:sdtContent>
            </w:sdt>
            <w:r w:rsidR="00AB61A4">
              <w:t xml:space="preserve">  </w:t>
            </w:r>
            <w:r w:rsidR="00B613DE">
              <w:t>Fill Below OHWM</w:t>
            </w:r>
          </w:p>
          <w:p w:rsidR="00B613DE" w:rsidRDefault="00FB479E" w:rsidP="00B613DE">
            <w:sdt>
              <w:sdtPr>
                <w:id w:val="-283111009"/>
                <w14:checkbox>
                  <w14:checked w14:val="0"/>
                  <w14:checkedState w14:val="2612" w14:font="MS Gothic"/>
                  <w14:uncheckedState w14:val="2610" w14:font="MS Gothic"/>
                </w14:checkbox>
              </w:sdtPr>
              <w:sdtEndPr/>
              <w:sdtContent>
                <w:r w:rsidR="001A681A">
                  <w:rPr>
                    <w:rFonts w:ascii="MS Gothic" w:eastAsia="MS Gothic" w:hAnsi="MS Gothic" w:hint="eastAsia"/>
                  </w:rPr>
                  <w:t>☐</w:t>
                </w:r>
              </w:sdtContent>
            </w:sdt>
            <w:r w:rsidR="00AB61A4">
              <w:t xml:space="preserve">  </w:t>
            </w:r>
            <w:r w:rsidR="00B613DE">
              <w:t>Aquatic Habitat Disturbed</w:t>
            </w:r>
          </w:p>
          <w:p w:rsidR="00B613DE" w:rsidRDefault="00FB479E" w:rsidP="00B613DE">
            <w:sdt>
              <w:sdtPr>
                <w:id w:val="1596121031"/>
                <w14:checkbox>
                  <w14:checked w14:val="1"/>
                  <w14:checkedState w14:val="2612" w14:font="MS Gothic"/>
                  <w14:uncheckedState w14:val="2610" w14:font="MS Gothic"/>
                </w14:checkbox>
              </w:sdtPr>
              <w:sdtEndPr/>
              <w:sdtContent>
                <w:r w:rsidR="001A681A">
                  <w:rPr>
                    <w:rFonts w:ascii="MS Gothic" w:eastAsia="MS Gothic" w:hAnsi="MS Gothic" w:hint="eastAsia"/>
                  </w:rPr>
                  <w:t>☒</w:t>
                </w:r>
              </w:sdtContent>
            </w:sdt>
            <w:r w:rsidR="00AB61A4">
              <w:t xml:space="preserve">  </w:t>
            </w:r>
            <w:r w:rsidR="00B613DE">
              <w:t>Other</w:t>
            </w:r>
          </w:p>
        </w:tc>
      </w:tr>
      <w:tr w:rsidR="00B613DE" w:rsidTr="00B613DE">
        <w:tc>
          <w:tcPr>
            <w:tcW w:w="3595" w:type="dxa"/>
          </w:tcPr>
          <w:p w:rsidR="00B613DE" w:rsidRPr="00AB61A4" w:rsidRDefault="00B613DE">
            <w:pPr>
              <w:rPr>
                <w:b/>
              </w:rPr>
            </w:pPr>
            <w:r w:rsidRPr="00AB61A4">
              <w:rPr>
                <w:b/>
              </w:rPr>
              <w:t>No Net Loss Demonstration</w:t>
            </w:r>
          </w:p>
        </w:tc>
        <w:tc>
          <w:tcPr>
            <w:tcW w:w="7380" w:type="dxa"/>
          </w:tcPr>
          <w:p w:rsidR="00B613DE" w:rsidRPr="00015391" w:rsidRDefault="00FB479E" w:rsidP="00B613DE">
            <w:sdt>
              <w:sdtPr>
                <w:id w:val="-1261914211"/>
                <w14:checkbox>
                  <w14:checked w14:val="1"/>
                  <w14:checkedState w14:val="2612" w14:font="MS Gothic"/>
                  <w14:uncheckedState w14:val="2610" w14:font="MS Gothic"/>
                </w14:checkbox>
              </w:sdtPr>
              <w:sdtEndPr/>
              <w:sdtContent>
                <w:r w:rsidR="00080C7F" w:rsidRPr="006F11B6">
                  <w:rPr>
                    <w:rFonts w:ascii="Segoe UI Symbol" w:hAnsi="Segoe UI Symbol" w:cs="Segoe UI Symbol"/>
                  </w:rPr>
                  <w:t>☒</w:t>
                </w:r>
              </w:sdtContent>
            </w:sdt>
            <w:r w:rsidR="00AB61A4" w:rsidRPr="00015391">
              <w:t xml:space="preserve">  </w:t>
            </w:r>
            <w:r w:rsidR="003F40F9" w:rsidRPr="00015391">
              <w:t>SF Manual</w:t>
            </w:r>
          </w:p>
          <w:p w:rsidR="00B613DE" w:rsidRPr="00015391" w:rsidRDefault="00FB479E" w:rsidP="003F40F9">
            <w:sdt>
              <w:sdtPr>
                <w:id w:val="-250435055"/>
                <w14:checkbox>
                  <w14:checked w14:val="0"/>
                  <w14:checkedState w14:val="2612" w14:font="MS Gothic"/>
                  <w14:uncheckedState w14:val="2610" w14:font="MS Gothic"/>
                </w14:checkbox>
              </w:sdtPr>
              <w:sdtEndPr/>
              <w:sdtContent>
                <w:r w:rsidR="00080C7F" w:rsidRPr="006F11B6">
                  <w:rPr>
                    <w:rFonts w:ascii="Segoe UI Symbol" w:hAnsi="Segoe UI Symbol" w:cs="Segoe UI Symbol"/>
                  </w:rPr>
                  <w:t>☐</w:t>
                </w:r>
              </w:sdtContent>
            </w:sdt>
            <w:r w:rsidR="00AB61A4" w:rsidRPr="00015391">
              <w:t xml:space="preserve">  </w:t>
            </w:r>
            <w:r w:rsidR="003F40F9" w:rsidRPr="00015391">
              <w:t>Site Specific Impact Analysis</w:t>
            </w:r>
          </w:p>
          <w:p w:rsidR="006003FB" w:rsidRPr="00015391" w:rsidRDefault="006003FB" w:rsidP="003F40F9"/>
          <w:p w:rsidR="002203B2" w:rsidRPr="00015391" w:rsidRDefault="006003FB" w:rsidP="006003FB">
            <w:r w:rsidRPr="00015391">
              <w:t xml:space="preserve">The </w:t>
            </w:r>
            <w:r w:rsidR="004D501B" w:rsidRPr="00015391">
              <w:t xml:space="preserve">use of the </w:t>
            </w:r>
            <w:proofErr w:type="gramStart"/>
            <w:r w:rsidR="004D501B" w:rsidRPr="00015391">
              <w:t>Single Family</w:t>
            </w:r>
            <w:proofErr w:type="gramEnd"/>
            <w:r w:rsidR="004D501B" w:rsidRPr="00015391">
              <w:t xml:space="preserve"> Residence Shoreline Mitigation Manual (</w:t>
            </w:r>
            <w:r w:rsidR="00102236" w:rsidRPr="006F11B6">
              <w:t>Attachment C</w:t>
            </w:r>
            <w:r w:rsidR="004D501B" w:rsidRPr="00015391">
              <w:t>) adequately demonstrates that the project qualifies for a mitigation exemption for repair or replacement of overwater structures</w:t>
            </w:r>
            <w:r w:rsidRPr="00015391">
              <w:t xml:space="preserve">. </w:t>
            </w:r>
            <w:r w:rsidR="00634D4E" w:rsidRPr="00015391">
              <w:t>The</w:t>
            </w:r>
            <w:r w:rsidR="004D501B" w:rsidRPr="00015391">
              <w:t xml:space="preserve"> measures for qualification of a mitigation exemption include: </w:t>
            </w:r>
          </w:p>
          <w:p w:rsidR="004D501B" w:rsidRPr="00015391" w:rsidRDefault="004D501B" w:rsidP="006003FB"/>
          <w:p w:rsidR="002203B2" w:rsidRPr="00015391" w:rsidRDefault="00634D4E" w:rsidP="002203B2">
            <w:pPr>
              <w:pStyle w:val="ListParagraph"/>
              <w:numPr>
                <w:ilvl w:val="0"/>
                <w:numId w:val="9"/>
              </w:numPr>
            </w:pPr>
            <w:r w:rsidRPr="00015391">
              <w:t xml:space="preserve">Replace dock surface with grating or gridding. </w:t>
            </w:r>
            <w:r w:rsidRPr="006F11B6">
              <w:t>The project proposes to r</w:t>
            </w:r>
            <w:r w:rsidR="004D501B" w:rsidRPr="006F11B6">
              <w:t xml:space="preserve">eplace </w:t>
            </w:r>
            <w:r w:rsidRPr="006F11B6">
              <w:t xml:space="preserve">the </w:t>
            </w:r>
            <w:r w:rsidR="004D501B" w:rsidRPr="006F11B6">
              <w:t>dock surface w</w:t>
            </w:r>
            <w:r w:rsidRPr="006F11B6">
              <w:t>ith a 100% grated pier, a 100% grated ramp, and a 50% grated float.</w:t>
            </w:r>
            <w:r w:rsidR="00457A46" w:rsidRPr="00015391">
              <w:t xml:space="preserve"> Grating on replacement piers</w:t>
            </w:r>
            <w:r w:rsidRPr="00015391">
              <w:t xml:space="preserve"> must be installed that result in a total open area of a minimum of 30 percent. </w:t>
            </w:r>
            <w:r w:rsidRPr="006F11B6">
              <w:t xml:space="preserve">The project </w:t>
            </w:r>
            <w:r w:rsidR="00EE4583" w:rsidRPr="006F11B6">
              <w:t>proposes grating with 70</w:t>
            </w:r>
            <w:r w:rsidR="00457A46" w:rsidRPr="006F11B6">
              <w:t>% grating open area on 10</w:t>
            </w:r>
            <w:r w:rsidR="00095E05" w:rsidRPr="006F11B6">
              <w:t xml:space="preserve">0% of </w:t>
            </w:r>
            <w:r w:rsidR="00457A46" w:rsidRPr="006F11B6">
              <w:t>pier and ramp</w:t>
            </w:r>
            <w:r w:rsidRPr="006F11B6">
              <w:t>, equating to a tota</w:t>
            </w:r>
            <w:r w:rsidR="00457A46" w:rsidRPr="006F11B6">
              <w:t>l open area of 70</w:t>
            </w:r>
            <w:r w:rsidRPr="006F11B6">
              <w:t>%</w:t>
            </w:r>
            <w:r w:rsidR="00897B9A" w:rsidRPr="006F11B6">
              <w:t>.</w:t>
            </w:r>
          </w:p>
          <w:p w:rsidR="002203B2" w:rsidRPr="006F11B6" w:rsidRDefault="00634D4E" w:rsidP="002203B2">
            <w:pPr>
              <w:pStyle w:val="ListParagraph"/>
              <w:numPr>
                <w:ilvl w:val="0"/>
                <w:numId w:val="9"/>
              </w:numPr>
            </w:pPr>
            <w:r w:rsidRPr="00015391">
              <w:t>Reduce dock width, to meet current SMP and USACE requirements</w:t>
            </w:r>
            <w:r w:rsidR="002203B2" w:rsidRPr="006F11B6">
              <w:t>.</w:t>
            </w:r>
            <w:r w:rsidRPr="006F11B6">
              <w:t xml:space="preserve"> </w:t>
            </w:r>
            <w:r w:rsidR="00936837" w:rsidRPr="006F11B6">
              <w:t>The project proposes to</w:t>
            </w:r>
            <w:r w:rsidR="006318D0" w:rsidRPr="006F11B6">
              <w:t xml:space="preserve"> reduce the pier width to 4</w:t>
            </w:r>
            <w:r w:rsidR="00936837" w:rsidRPr="006F11B6">
              <w:t xml:space="preserve"> feet, to meet current SMP standards for new piers (SMP Section 6.3.7.2.1(a)).</w:t>
            </w:r>
          </w:p>
          <w:p w:rsidR="002203B2" w:rsidRPr="00015391" w:rsidRDefault="00936837" w:rsidP="003F00DF">
            <w:pPr>
              <w:pStyle w:val="ListParagraph"/>
              <w:numPr>
                <w:ilvl w:val="0"/>
                <w:numId w:val="9"/>
              </w:numPr>
              <w:spacing w:before="240"/>
            </w:pPr>
            <w:r w:rsidRPr="00015391">
              <w:t xml:space="preserve">Increase dock height, to meet current SMP, WDFW or USACE recommendations. </w:t>
            </w:r>
            <w:r w:rsidRPr="006F11B6">
              <w:t>The project proposes to</w:t>
            </w:r>
            <w:r w:rsidR="003F00DF" w:rsidRPr="006F11B6">
              <w:t xml:space="preserve"> increase the pier height to 1 foot ab</w:t>
            </w:r>
            <w:r w:rsidR="00015391" w:rsidRPr="006F11B6">
              <w:t xml:space="preserve">ove the extreme </w:t>
            </w:r>
            <w:proofErr w:type="gramStart"/>
            <w:r w:rsidR="00015391" w:rsidRPr="006F11B6">
              <w:t>high water</w:t>
            </w:r>
            <w:proofErr w:type="gramEnd"/>
            <w:r w:rsidR="00015391" w:rsidRPr="006F11B6">
              <w:t xml:space="preserve"> mark</w:t>
            </w:r>
            <w:r w:rsidR="003F00DF" w:rsidRPr="006F11B6">
              <w:t>.</w:t>
            </w:r>
            <w:r w:rsidRPr="00015391">
              <w:t xml:space="preserve"> </w:t>
            </w:r>
          </w:p>
          <w:p w:rsidR="002203B2" w:rsidRPr="00015391" w:rsidRDefault="002203B2" w:rsidP="002203B2"/>
          <w:p w:rsidR="003F00DF" w:rsidRPr="00015391" w:rsidRDefault="003F00DF" w:rsidP="006003FB">
            <w:r w:rsidRPr="00015391">
              <w:t>The project also proposes to remov</w:t>
            </w:r>
            <w:r w:rsidR="006318D0" w:rsidRPr="00015391">
              <w:t xml:space="preserve">e and dispose of an existing 7 </w:t>
            </w:r>
            <w:proofErr w:type="gramStart"/>
            <w:r w:rsidR="006318D0" w:rsidRPr="00015391">
              <w:t>foot</w:t>
            </w:r>
            <w:proofErr w:type="gramEnd"/>
            <w:r w:rsidR="006318D0" w:rsidRPr="00015391">
              <w:t xml:space="preserve"> by</w:t>
            </w:r>
            <w:r w:rsidRPr="00015391">
              <w:t xml:space="preserve"> 85 foot marine railway that sits adjacent the pier, to the </w:t>
            </w:r>
            <w:r w:rsidR="00B1544D" w:rsidRPr="00015391">
              <w:t>north</w:t>
            </w:r>
            <w:r w:rsidRPr="00015391">
              <w:t xml:space="preserve">.  Additionally, the </w:t>
            </w:r>
            <w:proofErr w:type="gramStart"/>
            <w:r w:rsidRPr="00015391">
              <w:t>20 existing</w:t>
            </w:r>
            <w:proofErr w:type="gramEnd"/>
            <w:r w:rsidRPr="00015391">
              <w:t xml:space="preserve"> creosote-treated pilings would be replaced with 10 galvanized steel pilings. </w:t>
            </w:r>
          </w:p>
          <w:p w:rsidR="006318D0" w:rsidRPr="00015391" w:rsidRDefault="006318D0" w:rsidP="006003FB"/>
          <w:p w:rsidR="006318D0" w:rsidRPr="00015391" w:rsidRDefault="006318D0" w:rsidP="006003FB">
            <w:r w:rsidRPr="00015391">
              <w:t xml:space="preserve">The proposal will result in a net increase in light penetration through a reduction in shading footprint and the use of functional grating; improved water quality through the removal of creosote-treated piles; and improved aquatic habitat through the removal of the marine railway. Adverse impacts to the shoreline environment due to construction are expected to be short-term and will be minimized </w:t>
            </w:r>
            <w:proofErr w:type="gramStart"/>
            <w:r w:rsidRPr="00015391">
              <w:t>through the use of</w:t>
            </w:r>
            <w:proofErr w:type="gramEnd"/>
            <w:r w:rsidRPr="00015391">
              <w:t xml:space="preserve"> best management practices (BMPs). </w:t>
            </w:r>
            <w:r w:rsidRPr="006F11B6">
              <w:rPr>
                <w:b/>
              </w:rPr>
              <w:t xml:space="preserve">(Condition </w:t>
            </w:r>
            <w:r w:rsidR="000552F5" w:rsidRPr="006F11B6">
              <w:rPr>
                <w:b/>
              </w:rPr>
              <w:t>12</w:t>
            </w:r>
            <w:r w:rsidRPr="006F11B6">
              <w:rPr>
                <w:b/>
              </w:rPr>
              <w:t>)</w:t>
            </w:r>
            <w:r w:rsidRPr="00015391">
              <w:t xml:space="preserve"> Given the increase in compliance with the SMP’s </w:t>
            </w:r>
            <w:r w:rsidRPr="006F11B6">
              <w:t>requirements for materials and standards</w:t>
            </w:r>
            <w:r w:rsidRPr="00015391">
              <w:t>, the project will result in no net loss of shoreline ecological function and process.</w:t>
            </w:r>
          </w:p>
          <w:p w:rsidR="00EC0800" w:rsidRPr="00015391" w:rsidRDefault="00EC0800" w:rsidP="006003FB"/>
          <w:p w:rsidR="006F11B6" w:rsidRPr="006F11B6" w:rsidRDefault="00FD6848" w:rsidP="006F11B6">
            <w:r>
              <w:t xml:space="preserve">The applicant submitted a </w:t>
            </w:r>
            <w:proofErr w:type="gramStart"/>
            <w:r w:rsidR="006F11B6">
              <w:t>Site Specific</w:t>
            </w:r>
            <w:proofErr w:type="gramEnd"/>
            <w:r w:rsidR="006F11B6">
              <w:t xml:space="preserve"> Impact Analysis for the use of the barge (Attachment D). </w:t>
            </w:r>
            <w:r w:rsidR="006F11B6" w:rsidRPr="006F11B6">
              <w:t>The barge shall not ground at any point in the construction process</w:t>
            </w:r>
            <w:r w:rsidR="006F11B6">
              <w:t xml:space="preserve">. </w:t>
            </w:r>
            <w:r w:rsidR="006F11B6" w:rsidRPr="00A4595A">
              <w:rPr>
                <w:b/>
              </w:rPr>
              <w:t>(Condition 9)</w:t>
            </w:r>
            <w:r w:rsidR="006F11B6">
              <w:t xml:space="preserve"> As indicated in the analysis, </w:t>
            </w:r>
            <w:r w:rsidR="006F11B6" w:rsidRPr="006F11B6">
              <w:t xml:space="preserve">both </w:t>
            </w:r>
            <w:r w:rsidR="006F11B6">
              <w:t xml:space="preserve">the </w:t>
            </w:r>
            <w:r w:rsidR="006F11B6" w:rsidRPr="006F11B6">
              <w:t>barge and tug operations will be conducted to minimize any disturbances to the</w:t>
            </w:r>
            <w:r w:rsidR="006F11B6">
              <w:t xml:space="preserve"> marine habitat, including </w:t>
            </w:r>
            <w:r w:rsidR="006F11B6" w:rsidRPr="006F11B6">
              <w:t xml:space="preserve">ensuring deep enough tide to minize any sort of scour or disruptions, </w:t>
            </w:r>
            <w:r w:rsidR="006F11B6">
              <w:t xml:space="preserve">the creation of </w:t>
            </w:r>
            <w:r w:rsidR="006F11B6" w:rsidRPr="006F11B6">
              <w:t>currents, or dragging.</w:t>
            </w:r>
            <w:r w:rsidR="006F11B6">
              <w:t xml:space="preserve"> Construction of the dock </w:t>
            </w:r>
            <w:r w:rsidR="006F11B6" w:rsidRPr="006F11B6">
              <w:t xml:space="preserve">will </w:t>
            </w:r>
            <w:r w:rsidR="006F11B6" w:rsidRPr="006F11B6">
              <w:lastRenderedPageBreak/>
              <w:t>be conducted within the approved work windows of WDFW and USACE.</w:t>
            </w:r>
            <w:r w:rsidR="006F11B6">
              <w:t xml:space="preserve"> </w:t>
            </w:r>
            <w:r w:rsidR="006F11B6" w:rsidRPr="006F11B6">
              <w:rPr>
                <w:b/>
              </w:rPr>
              <w:t>(Condition 3)</w:t>
            </w:r>
          </w:p>
          <w:p w:rsidR="00EC0800" w:rsidRPr="00015391" w:rsidRDefault="00EC0800" w:rsidP="006F11B6"/>
        </w:tc>
      </w:tr>
      <w:tr w:rsidR="003F40F9" w:rsidTr="00B613DE">
        <w:tc>
          <w:tcPr>
            <w:tcW w:w="3595" w:type="dxa"/>
          </w:tcPr>
          <w:p w:rsidR="003F40F9" w:rsidRPr="00AB61A4" w:rsidRDefault="003F40F9">
            <w:pPr>
              <w:rPr>
                <w:b/>
              </w:rPr>
            </w:pPr>
            <w:r w:rsidRPr="00AB61A4">
              <w:rPr>
                <w:b/>
              </w:rPr>
              <w:lastRenderedPageBreak/>
              <w:t>Proposed Mitigation</w:t>
            </w:r>
          </w:p>
        </w:tc>
        <w:tc>
          <w:tcPr>
            <w:tcW w:w="7380" w:type="dxa"/>
          </w:tcPr>
          <w:p w:rsidR="00DE2548" w:rsidRPr="00DF3C08" w:rsidRDefault="002203B2" w:rsidP="000949E9">
            <w:pPr>
              <w:rPr>
                <w:highlight w:val="yellow"/>
              </w:rPr>
            </w:pPr>
            <w:r w:rsidRPr="00583605">
              <w:t xml:space="preserve">No </w:t>
            </w:r>
            <w:r w:rsidR="006318D0">
              <w:t xml:space="preserve">additional </w:t>
            </w:r>
            <w:r w:rsidRPr="00583605">
              <w:t xml:space="preserve">compensatory mitigation is proposed or required. Mitigation through project design and construction includes a decrease in over-water structure, </w:t>
            </w:r>
            <w:r w:rsidR="00583605" w:rsidRPr="00583605">
              <w:t xml:space="preserve">increased functional grating, </w:t>
            </w:r>
            <w:r w:rsidRPr="00583605">
              <w:t>removal of creosote</w:t>
            </w:r>
            <w:r w:rsidR="00DD09FB">
              <w:t>-treated pile</w:t>
            </w:r>
            <w:r w:rsidRPr="00583605">
              <w:t>s</w:t>
            </w:r>
            <w:r w:rsidR="00DD09FB">
              <w:t>,</w:t>
            </w:r>
            <w:r w:rsidRPr="00583605">
              <w:t xml:space="preserve"> and</w:t>
            </w:r>
            <w:r w:rsidR="00EE4583">
              <w:t xml:space="preserve"> </w:t>
            </w:r>
            <w:r w:rsidR="00EC0800">
              <w:t>removal of the</w:t>
            </w:r>
            <w:r w:rsidR="00583605" w:rsidRPr="00583605">
              <w:t xml:space="preserve"> marine rail </w:t>
            </w:r>
            <w:proofErr w:type="gramStart"/>
            <w:r w:rsidR="00583605" w:rsidRPr="00583605">
              <w:t>off of</w:t>
            </w:r>
            <w:proofErr w:type="gramEnd"/>
            <w:r w:rsidR="00583605" w:rsidRPr="00583605">
              <w:t xml:space="preserve"> the substrate (beach). </w:t>
            </w:r>
          </w:p>
        </w:tc>
      </w:tr>
      <w:tr w:rsidR="003F40F9" w:rsidTr="00B613DE">
        <w:tc>
          <w:tcPr>
            <w:tcW w:w="3595" w:type="dxa"/>
          </w:tcPr>
          <w:p w:rsidR="003F40F9" w:rsidRPr="00AB61A4" w:rsidRDefault="003F40F9">
            <w:pPr>
              <w:rPr>
                <w:b/>
              </w:rPr>
            </w:pPr>
            <w:r w:rsidRPr="00AB61A4">
              <w:rPr>
                <w:b/>
              </w:rPr>
              <w:t>Mitigation Surety and Assurances</w:t>
            </w:r>
          </w:p>
        </w:tc>
        <w:tc>
          <w:tcPr>
            <w:tcW w:w="7380" w:type="dxa"/>
          </w:tcPr>
          <w:p w:rsidR="003F40F9" w:rsidRDefault="00FB479E" w:rsidP="003F40F9">
            <w:sdt>
              <w:sdtPr>
                <w:id w:val="1832257088"/>
                <w14:checkbox>
                  <w14:checked w14:val="0"/>
                  <w14:checkedState w14:val="2612" w14:font="MS Gothic"/>
                  <w14:uncheckedState w14:val="2610" w14:font="MS Gothic"/>
                </w14:checkbox>
              </w:sdtPr>
              <w:sdtEndPr/>
              <w:sdtContent>
                <w:r w:rsidR="00626615">
                  <w:rPr>
                    <w:rFonts w:ascii="MS Gothic" w:eastAsia="MS Gothic" w:hAnsi="MS Gothic" w:hint="eastAsia"/>
                  </w:rPr>
                  <w:t>☐</w:t>
                </w:r>
              </w:sdtContent>
            </w:sdt>
            <w:r w:rsidR="00AB61A4">
              <w:t xml:space="preserve">  </w:t>
            </w:r>
            <w:r w:rsidR="003F40F9">
              <w:t>Notice to Title</w:t>
            </w:r>
          </w:p>
          <w:p w:rsidR="003F40F9" w:rsidRDefault="00FB479E" w:rsidP="003F40F9">
            <w:sdt>
              <w:sdtPr>
                <w:id w:val="378135279"/>
                <w14:checkbox>
                  <w14:checked w14:val="0"/>
                  <w14:checkedState w14:val="2612" w14:font="MS Gothic"/>
                  <w14:uncheckedState w14:val="2610" w14:font="MS Gothic"/>
                </w14:checkbox>
              </w:sdtPr>
              <w:sdtEndPr/>
              <w:sdtContent>
                <w:r w:rsidR="00626615">
                  <w:rPr>
                    <w:rFonts w:ascii="MS Gothic" w:eastAsia="MS Gothic" w:hAnsi="MS Gothic" w:hint="eastAsia"/>
                  </w:rPr>
                  <w:t>☐</w:t>
                </w:r>
              </w:sdtContent>
            </w:sdt>
            <w:r w:rsidR="00AB61A4">
              <w:t xml:space="preserve">  </w:t>
            </w:r>
            <w:r w:rsidR="003F40F9">
              <w:t>Performance Assurance</w:t>
            </w:r>
          </w:p>
          <w:p w:rsidR="003F40F9" w:rsidRDefault="00FB479E" w:rsidP="003F40F9">
            <w:sdt>
              <w:sdtPr>
                <w:id w:val="1689412352"/>
                <w14:checkbox>
                  <w14:checked w14:val="0"/>
                  <w14:checkedState w14:val="2612" w14:font="MS Gothic"/>
                  <w14:uncheckedState w14:val="2610" w14:font="MS Gothic"/>
                </w14:checkbox>
              </w:sdtPr>
              <w:sdtEndPr/>
              <w:sdtContent>
                <w:r w:rsidR="00626615">
                  <w:rPr>
                    <w:rFonts w:ascii="MS Gothic" w:eastAsia="MS Gothic" w:hAnsi="MS Gothic" w:hint="eastAsia"/>
                  </w:rPr>
                  <w:t>☐</w:t>
                </w:r>
              </w:sdtContent>
            </w:sdt>
            <w:r w:rsidR="00AB61A4">
              <w:t xml:space="preserve">  </w:t>
            </w:r>
            <w:r w:rsidR="003F40F9">
              <w:t>Maintenance and Monitoring Assurance</w:t>
            </w:r>
          </w:p>
          <w:p w:rsidR="006003FB" w:rsidRDefault="006003FB" w:rsidP="003F40F9"/>
          <w:p w:rsidR="006003FB" w:rsidRDefault="006003FB" w:rsidP="003F40F9">
            <w:r>
              <w:t>None required.</w:t>
            </w:r>
          </w:p>
        </w:tc>
      </w:tr>
    </w:tbl>
    <w:p w:rsidR="001B75D6" w:rsidRDefault="001B75D6" w:rsidP="00B03FBA">
      <w:pPr>
        <w:rPr>
          <w:b/>
        </w:rPr>
      </w:pPr>
    </w:p>
    <w:p w:rsidR="00B03FBA" w:rsidRDefault="00B03FBA" w:rsidP="00B03FBA">
      <w:pPr>
        <w:rPr>
          <w:b/>
        </w:rPr>
      </w:pPr>
      <w:r>
        <w:rPr>
          <w:b/>
        </w:rPr>
        <w:t>Consistency Review</w:t>
      </w:r>
    </w:p>
    <w:tbl>
      <w:tblPr>
        <w:tblStyle w:val="TableGrid"/>
        <w:tblW w:w="10975" w:type="dxa"/>
        <w:tblLook w:val="04A0" w:firstRow="1" w:lastRow="0" w:firstColumn="1" w:lastColumn="0" w:noHBand="0" w:noVBand="1"/>
      </w:tblPr>
      <w:tblGrid>
        <w:gridCol w:w="3595"/>
        <w:gridCol w:w="7380"/>
      </w:tblGrid>
      <w:tr w:rsidR="00B03FBA" w:rsidTr="00256A04">
        <w:tc>
          <w:tcPr>
            <w:tcW w:w="3595" w:type="dxa"/>
          </w:tcPr>
          <w:p w:rsidR="00B03FBA" w:rsidRPr="00AB61A4" w:rsidRDefault="00B03FBA" w:rsidP="00B03FBA">
            <w:pPr>
              <w:rPr>
                <w:b/>
              </w:rPr>
            </w:pPr>
            <w:r w:rsidRPr="00AB61A4">
              <w:rPr>
                <w:b/>
              </w:rPr>
              <w:t>Section 4.1.3</w:t>
            </w:r>
          </w:p>
          <w:p w:rsidR="00B03FBA" w:rsidRPr="00AB61A4" w:rsidRDefault="00B03FBA" w:rsidP="00B03FBA">
            <w:pPr>
              <w:rPr>
                <w:b/>
              </w:rPr>
            </w:pPr>
            <w:r w:rsidRPr="00AB61A4">
              <w:rPr>
                <w:b/>
              </w:rPr>
              <w:t>Vegetation Management</w:t>
            </w:r>
          </w:p>
        </w:tc>
        <w:tc>
          <w:tcPr>
            <w:tcW w:w="7380" w:type="dxa"/>
          </w:tcPr>
          <w:p w:rsidR="009819D3" w:rsidRPr="00EC0800" w:rsidRDefault="00FC6148" w:rsidP="009819D3">
            <w:pPr>
              <w:rPr>
                <w:rFonts w:cstheme="minorHAnsi"/>
              </w:rPr>
            </w:pPr>
            <w:r w:rsidRPr="00EC0800">
              <w:rPr>
                <w:rFonts w:cstheme="minorHAnsi"/>
              </w:rPr>
              <w:t>No upland work is proposed.  Construction material will be brought to the site via barge.</w:t>
            </w:r>
          </w:p>
        </w:tc>
      </w:tr>
      <w:tr w:rsidR="00B03FBA" w:rsidTr="00256A04">
        <w:tc>
          <w:tcPr>
            <w:tcW w:w="3595" w:type="dxa"/>
          </w:tcPr>
          <w:p w:rsidR="00B03FBA" w:rsidRPr="00AB61A4" w:rsidRDefault="00B03FBA" w:rsidP="00B03FBA">
            <w:pPr>
              <w:rPr>
                <w:b/>
              </w:rPr>
            </w:pPr>
            <w:r w:rsidRPr="00AB61A4">
              <w:rPr>
                <w:b/>
              </w:rPr>
              <w:t>Section 4.1.5</w:t>
            </w:r>
          </w:p>
          <w:p w:rsidR="00B03FBA" w:rsidRPr="00AB61A4" w:rsidRDefault="00B03FBA" w:rsidP="00B03FBA">
            <w:pPr>
              <w:rPr>
                <w:b/>
              </w:rPr>
            </w:pPr>
            <w:r w:rsidRPr="00AB61A4">
              <w:rPr>
                <w:b/>
              </w:rPr>
              <w:t>Critical Areas</w:t>
            </w:r>
          </w:p>
        </w:tc>
        <w:tc>
          <w:tcPr>
            <w:tcW w:w="7380" w:type="dxa"/>
          </w:tcPr>
          <w:p w:rsidR="00B03FBA" w:rsidRDefault="00FB479E" w:rsidP="00B03FBA">
            <w:sdt>
              <w:sdtPr>
                <w:id w:val="-1961793514"/>
                <w14:checkbox>
                  <w14:checked w14:val="0"/>
                  <w14:checkedState w14:val="2612" w14:font="MS Gothic"/>
                  <w14:uncheckedState w14:val="2610" w14:font="MS Gothic"/>
                </w14:checkbox>
              </w:sdtPr>
              <w:sdtEndPr/>
              <w:sdtContent>
                <w:r w:rsidR="00EC0800">
                  <w:rPr>
                    <w:rFonts w:ascii="MS Gothic" w:eastAsia="MS Gothic" w:hAnsi="MS Gothic" w:hint="eastAsia"/>
                  </w:rPr>
                  <w:t>☐</w:t>
                </w:r>
              </w:sdtContent>
            </w:sdt>
            <w:r w:rsidR="00AB61A4">
              <w:t xml:space="preserve">  </w:t>
            </w:r>
            <w:r w:rsidR="00B03FBA">
              <w:t xml:space="preserve">Critical Saltwater Habitat                           </w:t>
            </w:r>
          </w:p>
          <w:p w:rsidR="00B03FBA" w:rsidRDefault="00FB479E" w:rsidP="00B03FBA">
            <w:sdt>
              <w:sdtPr>
                <w:id w:val="846219638"/>
                <w14:checkbox>
                  <w14:checked w14:val="0"/>
                  <w14:checkedState w14:val="2612" w14:font="MS Gothic"/>
                  <w14:uncheckedState w14:val="2610" w14:font="MS Gothic"/>
                </w14:checkbox>
              </w:sdtPr>
              <w:sdtEndPr/>
              <w:sdtContent>
                <w:r w:rsidR="00AB61A4">
                  <w:rPr>
                    <w:rFonts w:ascii="MS Gothic" w:eastAsia="MS Gothic" w:hAnsi="MS Gothic" w:hint="eastAsia"/>
                  </w:rPr>
                  <w:t>☐</w:t>
                </w:r>
              </w:sdtContent>
            </w:sdt>
            <w:r w:rsidR="00AB61A4">
              <w:t xml:space="preserve">  </w:t>
            </w:r>
            <w:r w:rsidR="00B03FBA">
              <w:t>Wetland</w:t>
            </w:r>
          </w:p>
          <w:p w:rsidR="00B03FBA" w:rsidRDefault="00FB479E" w:rsidP="00B03FBA">
            <w:sdt>
              <w:sdtPr>
                <w:id w:val="2086957457"/>
                <w14:checkbox>
                  <w14:checked w14:val="0"/>
                  <w14:checkedState w14:val="2612" w14:font="MS Gothic"/>
                  <w14:uncheckedState w14:val="2610" w14:font="MS Gothic"/>
                </w14:checkbox>
              </w:sdtPr>
              <w:sdtEndPr/>
              <w:sdtContent>
                <w:r w:rsidR="00AB61A4">
                  <w:rPr>
                    <w:rFonts w:ascii="MS Gothic" w:eastAsia="MS Gothic" w:hAnsi="MS Gothic" w:hint="eastAsia"/>
                  </w:rPr>
                  <w:t>☐</w:t>
                </w:r>
              </w:sdtContent>
            </w:sdt>
            <w:r w:rsidR="00AB61A4">
              <w:t xml:space="preserve">  </w:t>
            </w:r>
            <w:r w:rsidR="00B03FBA">
              <w:t>Fish and Wildlife Conservation Area</w:t>
            </w:r>
          </w:p>
          <w:p w:rsidR="00C96238" w:rsidRDefault="00FB479E" w:rsidP="00F3294D">
            <w:sdt>
              <w:sdtPr>
                <w:id w:val="1062376003"/>
                <w14:checkbox>
                  <w14:checked w14:val="1"/>
                  <w14:checkedState w14:val="2612" w14:font="MS Gothic"/>
                  <w14:uncheckedState w14:val="2610" w14:font="MS Gothic"/>
                </w14:checkbox>
              </w:sdtPr>
              <w:sdtEndPr/>
              <w:sdtContent>
                <w:r w:rsidR="00626615">
                  <w:rPr>
                    <w:rFonts w:ascii="MS Gothic" w:eastAsia="MS Gothic" w:hAnsi="MS Gothic" w:hint="eastAsia"/>
                  </w:rPr>
                  <w:t>☒</w:t>
                </w:r>
              </w:sdtContent>
            </w:sdt>
            <w:r w:rsidR="00AB61A4">
              <w:t xml:space="preserve">  </w:t>
            </w:r>
            <w:r w:rsidR="00B03FBA">
              <w:t>Geologically Hazardous Area</w:t>
            </w:r>
          </w:p>
          <w:p w:rsidR="006E05BB" w:rsidRPr="00545ABB" w:rsidRDefault="006E05BB" w:rsidP="00F3294D">
            <w:pPr>
              <w:rPr>
                <w:rFonts w:cstheme="minorHAnsi"/>
              </w:rPr>
            </w:pPr>
          </w:p>
          <w:p w:rsidR="00583605" w:rsidRPr="00B03FBA" w:rsidRDefault="00FC6148" w:rsidP="00FC6148">
            <w:r w:rsidRPr="00583605">
              <w:t xml:space="preserve">The upland portion of the site is a mapped geologically hazardous area; however, no upland work is proposed. </w:t>
            </w:r>
          </w:p>
        </w:tc>
      </w:tr>
      <w:tr w:rsidR="00B03FBA" w:rsidTr="00256A04">
        <w:tc>
          <w:tcPr>
            <w:tcW w:w="3595" w:type="dxa"/>
          </w:tcPr>
          <w:p w:rsidR="00B03FBA" w:rsidRPr="00AB61A4" w:rsidRDefault="00B03FBA" w:rsidP="00B03FBA">
            <w:pPr>
              <w:rPr>
                <w:b/>
              </w:rPr>
            </w:pPr>
            <w:r w:rsidRPr="00AB61A4">
              <w:rPr>
                <w:b/>
              </w:rPr>
              <w:t>Section 4.1.6</w:t>
            </w:r>
          </w:p>
          <w:p w:rsidR="00B03FBA" w:rsidRPr="00AB61A4" w:rsidRDefault="00B03FBA" w:rsidP="00B03FBA">
            <w:pPr>
              <w:rPr>
                <w:b/>
              </w:rPr>
            </w:pPr>
            <w:r w:rsidRPr="00AB61A4">
              <w:rPr>
                <w:b/>
              </w:rPr>
              <w:t>Water Quality and Stormwater Management</w:t>
            </w:r>
          </w:p>
        </w:tc>
        <w:tc>
          <w:tcPr>
            <w:tcW w:w="7380" w:type="dxa"/>
          </w:tcPr>
          <w:p w:rsidR="00DE5B08" w:rsidRPr="00583605" w:rsidRDefault="00583605" w:rsidP="00583605">
            <w:pPr>
              <w:widowControl w:val="0"/>
              <w:tabs>
                <w:tab w:val="left" w:pos="0"/>
                <w:tab w:val="left" w:pos="9000"/>
              </w:tabs>
            </w:pPr>
            <w:r w:rsidRPr="00C82788">
              <w:t>Temporary water quality impacts are expected during</w:t>
            </w:r>
            <w:r w:rsidR="00EC0800">
              <w:t xml:space="preserve"> pile removal and pile driving.</w:t>
            </w:r>
            <w:r w:rsidRPr="00C82788">
              <w:t xml:space="preserve"> Increased turbidity is expec</w:t>
            </w:r>
            <w:r w:rsidR="00EC0800">
              <w:t xml:space="preserve">ted to be localized and brief. </w:t>
            </w:r>
            <w:r w:rsidRPr="00C82788">
              <w:t xml:space="preserve">As conditioned, the project shall apply Best Management Practices (BMPs) to protect water quality during construction. </w:t>
            </w:r>
          </w:p>
        </w:tc>
      </w:tr>
      <w:tr w:rsidR="00B03FBA" w:rsidTr="00256A04">
        <w:tc>
          <w:tcPr>
            <w:tcW w:w="3595" w:type="dxa"/>
          </w:tcPr>
          <w:p w:rsidR="00B03FBA" w:rsidRPr="00AB61A4" w:rsidRDefault="00B03FBA" w:rsidP="00B03FBA">
            <w:pPr>
              <w:rPr>
                <w:b/>
              </w:rPr>
            </w:pPr>
            <w:r w:rsidRPr="00AB61A4">
              <w:rPr>
                <w:b/>
              </w:rPr>
              <w:t>Section 4.2</w:t>
            </w:r>
          </w:p>
          <w:p w:rsidR="00B03FBA" w:rsidRPr="00AB61A4" w:rsidRDefault="00B03FBA" w:rsidP="00B03FBA">
            <w:pPr>
              <w:rPr>
                <w:b/>
              </w:rPr>
            </w:pPr>
            <w:r w:rsidRPr="00AB61A4">
              <w:rPr>
                <w:b/>
              </w:rPr>
              <w:t>Existing Development</w:t>
            </w:r>
          </w:p>
        </w:tc>
        <w:tc>
          <w:tcPr>
            <w:tcW w:w="7380" w:type="dxa"/>
          </w:tcPr>
          <w:p w:rsidR="00B03FBA" w:rsidRPr="00DE2548" w:rsidRDefault="00FC6148" w:rsidP="00FC6148">
            <w:pPr>
              <w:pStyle w:val="Heading4"/>
              <w:spacing w:before="0" w:after="0"/>
              <w:outlineLvl w:val="3"/>
              <w:rPr>
                <w:b w:val="0"/>
                <w:sz w:val="22"/>
                <w:szCs w:val="22"/>
              </w:rPr>
            </w:pPr>
            <w:r>
              <w:rPr>
                <w:rFonts w:cstheme="minorHAnsi"/>
                <w:b w:val="0"/>
                <w:sz w:val="22"/>
                <w:szCs w:val="22"/>
                <w:shd w:val="clear" w:color="auto" w:fill="FFFFFF"/>
              </w:rPr>
              <w:t xml:space="preserve">SMP Section 4.2.1.8, Regulations – Existing Residential and Commercial: Aquatic Structures and Accessory Aquatic Structures, provides that existing docks, floats and buoys </w:t>
            </w:r>
            <w:r w:rsidRPr="00FC6148">
              <w:rPr>
                <w:rFonts w:cstheme="minorHAnsi"/>
                <w:b w:val="0"/>
                <w:sz w:val="22"/>
                <w:szCs w:val="22"/>
                <w:shd w:val="clear" w:color="auto" w:fill="FFFFFF"/>
              </w:rPr>
              <w:t>may be repaired and replaced in the same foot print and shall comply with this Program’s requirements for materials and standards, to the extent practicable.</w:t>
            </w:r>
            <w:r>
              <w:rPr>
                <w:rFonts w:cstheme="minorHAnsi"/>
                <w:b w:val="0"/>
                <w:sz w:val="22"/>
                <w:szCs w:val="22"/>
                <w:shd w:val="clear" w:color="auto" w:fill="FFFFFF"/>
              </w:rPr>
              <w:t xml:space="preserve"> </w:t>
            </w:r>
            <w:r w:rsidRPr="00EC0800">
              <w:rPr>
                <w:rFonts w:cstheme="minorHAnsi"/>
                <w:sz w:val="22"/>
                <w:szCs w:val="22"/>
                <w:shd w:val="clear" w:color="auto" w:fill="FFFFFF"/>
              </w:rPr>
              <w:t xml:space="preserve">The replacement </w:t>
            </w:r>
            <w:r w:rsidR="00F95EBE" w:rsidRPr="00EC0800">
              <w:rPr>
                <w:rFonts w:cstheme="minorHAnsi"/>
                <w:sz w:val="22"/>
                <w:szCs w:val="22"/>
                <w:shd w:val="clear" w:color="auto" w:fill="FFFFFF"/>
              </w:rPr>
              <w:t xml:space="preserve">pier, </w:t>
            </w:r>
            <w:r w:rsidRPr="00EC0800">
              <w:rPr>
                <w:rFonts w:cstheme="minorHAnsi"/>
                <w:sz w:val="22"/>
                <w:szCs w:val="22"/>
                <w:shd w:val="clear" w:color="auto" w:fill="FFFFFF"/>
              </w:rPr>
              <w:t xml:space="preserve">ramp </w:t>
            </w:r>
            <w:r w:rsidR="00F95EBE" w:rsidRPr="00EC0800">
              <w:rPr>
                <w:rFonts w:cstheme="minorHAnsi"/>
                <w:sz w:val="22"/>
                <w:szCs w:val="22"/>
                <w:shd w:val="clear" w:color="auto" w:fill="FFFFFF"/>
              </w:rPr>
              <w:t xml:space="preserve">and marine rail </w:t>
            </w:r>
            <w:r w:rsidRPr="00EC0800">
              <w:rPr>
                <w:rFonts w:cstheme="minorHAnsi"/>
                <w:sz w:val="22"/>
                <w:szCs w:val="22"/>
                <w:shd w:val="clear" w:color="auto" w:fill="FFFFFF"/>
              </w:rPr>
              <w:t xml:space="preserve">will </w:t>
            </w:r>
            <w:proofErr w:type="gramStart"/>
            <w:r w:rsidRPr="00EC0800">
              <w:rPr>
                <w:rFonts w:cstheme="minorHAnsi"/>
                <w:sz w:val="22"/>
                <w:szCs w:val="22"/>
                <w:shd w:val="clear" w:color="auto" w:fill="FFFFFF"/>
              </w:rPr>
              <w:t>be located</w:t>
            </w:r>
            <w:r w:rsidR="00A4595A">
              <w:rPr>
                <w:rFonts w:cstheme="minorHAnsi"/>
                <w:sz w:val="22"/>
                <w:szCs w:val="22"/>
                <w:shd w:val="clear" w:color="auto" w:fill="FFFFFF"/>
              </w:rPr>
              <w:t xml:space="preserve"> in</w:t>
            </w:r>
            <w:proofErr w:type="gramEnd"/>
            <w:r w:rsidR="00A4595A">
              <w:rPr>
                <w:rFonts w:cstheme="minorHAnsi"/>
                <w:sz w:val="22"/>
                <w:szCs w:val="22"/>
                <w:shd w:val="clear" w:color="auto" w:fill="FFFFFF"/>
              </w:rPr>
              <w:t xml:space="preserve"> the same foot print and shall</w:t>
            </w:r>
            <w:r w:rsidRPr="00EC0800">
              <w:rPr>
                <w:rFonts w:cstheme="minorHAnsi"/>
                <w:sz w:val="22"/>
                <w:szCs w:val="22"/>
                <w:shd w:val="clear" w:color="auto" w:fill="FFFFFF"/>
              </w:rPr>
              <w:t xml:space="preserve"> comply with the applicable requiremen</w:t>
            </w:r>
            <w:r w:rsidR="00F95EBE" w:rsidRPr="00EC0800">
              <w:rPr>
                <w:rFonts w:cstheme="minorHAnsi"/>
                <w:sz w:val="22"/>
                <w:szCs w:val="22"/>
                <w:shd w:val="clear" w:color="auto" w:fill="FFFFFF"/>
              </w:rPr>
              <w:t xml:space="preserve">ts for materials and standards to the extent practicable </w:t>
            </w:r>
            <w:r w:rsidRPr="00EC0800">
              <w:rPr>
                <w:rFonts w:cstheme="minorHAnsi"/>
                <w:sz w:val="22"/>
                <w:szCs w:val="22"/>
                <w:shd w:val="clear" w:color="auto" w:fill="FFFFFF"/>
              </w:rPr>
              <w:t>(See Section 6.2, below).</w:t>
            </w:r>
            <w:r>
              <w:rPr>
                <w:rFonts w:cstheme="minorHAnsi"/>
                <w:b w:val="0"/>
                <w:sz w:val="22"/>
                <w:szCs w:val="22"/>
                <w:shd w:val="clear" w:color="auto" w:fill="FFFFFF"/>
              </w:rPr>
              <w:t xml:space="preserve"> </w:t>
            </w:r>
            <w:r w:rsidR="00D66866">
              <w:rPr>
                <w:rFonts w:ascii="Times New Roman" w:hAnsi="Times New Roman"/>
              </w:rPr>
              <w:t xml:space="preserve"> </w:t>
            </w:r>
          </w:p>
        </w:tc>
      </w:tr>
      <w:tr w:rsidR="00A4595A" w:rsidTr="00256A04">
        <w:tc>
          <w:tcPr>
            <w:tcW w:w="3595" w:type="dxa"/>
          </w:tcPr>
          <w:p w:rsidR="00A4595A" w:rsidRPr="008B57ED" w:rsidRDefault="00A4595A" w:rsidP="00A4595A">
            <w:pPr>
              <w:rPr>
                <w:b/>
              </w:rPr>
            </w:pPr>
            <w:r w:rsidRPr="008B57ED">
              <w:rPr>
                <w:b/>
              </w:rPr>
              <w:t>Section 4.2.2</w:t>
            </w:r>
          </w:p>
          <w:p w:rsidR="00A4595A" w:rsidRPr="008B57ED" w:rsidRDefault="00A4595A" w:rsidP="00A4595A">
            <w:pPr>
              <w:rPr>
                <w:b/>
              </w:rPr>
            </w:pPr>
            <w:r w:rsidRPr="008B57ED">
              <w:rPr>
                <w:b/>
              </w:rPr>
              <w:t>Cultural Resources</w:t>
            </w:r>
          </w:p>
        </w:tc>
        <w:tc>
          <w:tcPr>
            <w:tcW w:w="7380" w:type="dxa"/>
          </w:tcPr>
          <w:p w:rsidR="00A4595A" w:rsidRDefault="00A4595A" w:rsidP="00A4595A">
            <w:pPr>
              <w:pStyle w:val="Heading4"/>
              <w:spacing w:before="0" w:after="0"/>
              <w:outlineLvl w:val="3"/>
              <w:rPr>
                <w:rFonts w:ascii="Calibri" w:hAnsi="Calibri"/>
                <w:b w:val="0"/>
                <w:sz w:val="22"/>
                <w:szCs w:val="22"/>
              </w:rPr>
            </w:pPr>
            <w:r w:rsidRPr="008B57ED">
              <w:rPr>
                <w:rFonts w:ascii="Calibri" w:hAnsi="Calibri"/>
                <w:b w:val="0"/>
                <w:sz w:val="22"/>
                <w:szCs w:val="22"/>
              </w:rPr>
              <w:t xml:space="preserve">Shoreline use and development must preserve and protect cultural resources that are recorded by the Washington State Department of Archeology and Historic Preservation or local registry and resources that are inadvertently discovered during use or development activities.  </w:t>
            </w:r>
          </w:p>
          <w:p w:rsidR="00A4595A" w:rsidRPr="00110CBB" w:rsidRDefault="00A4595A" w:rsidP="00A4595A">
            <w:pPr>
              <w:rPr>
                <w:lang w:bidi="en-US"/>
              </w:rPr>
            </w:pPr>
          </w:p>
          <w:p w:rsidR="00A4595A" w:rsidRPr="004A0506" w:rsidRDefault="00A4595A" w:rsidP="00A4595A">
            <w:pPr>
              <w:rPr>
                <w:rFonts w:ascii="Calibri" w:hAnsi="Calibri"/>
              </w:rPr>
            </w:pPr>
            <w:r>
              <w:rPr>
                <w:rFonts w:ascii="Calibri" w:hAnsi="Calibri"/>
              </w:rPr>
              <w:t>As conditioned, w</w:t>
            </w:r>
            <w:r w:rsidRPr="004A0506">
              <w:rPr>
                <w:rFonts w:ascii="Calibri" w:hAnsi="Calibri"/>
              </w:rPr>
              <w:t>ork shall immediately stop if any historical or archaeological artifacts are uncovered during excavation or construction and the Department of Planning and Community Development and the Washington State Office of Archaeology and Historic Preservation shall be immediately notified. Construction shall only continue thereafter in compliance with the applicable provisions of law.</w:t>
            </w:r>
            <w:r>
              <w:rPr>
                <w:rFonts w:ascii="Calibri" w:hAnsi="Calibri"/>
              </w:rPr>
              <w:t xml:space="preserve"> </w:t>
            </w:r>
            <w:r w:rsidRPr="00A4595A">
              <w:rPr>
                <w:rFonts w:ascii="Calibri" w:hAnsi="Calibri"/>
                <w:b/>
              </w:rPr>
              <w:t xml:space="preserve">(Condition </w:t>
            </w:r>
            <w:r w:rsidR="006B41D2">
              <w:rPr>
                <w:rFonts w:ascii="Calibri" w:hAnsi="Calibri"/>
                <w:b/>
              </w:rPr>
              <w:t>15</w:t>
            </w:r>
            <w:r w:rsidRPr="00A4595A">
              <w:rPr>
                <w:rFonts w:ascii="Calibri" w:hAnsi="Calibri"/>
                <w:b/>
              </w:rPr>
              <w:t>)</w:t>
            </w:r>
          </w:p>
        </w:tc>
      </w:tr>
      <w:tr w:rsidR="00A4595A" w:rsidTr="00256A04">
        <w:tc>
          <w:tcPr>
            <w:tcW w:w="3595" w:type="dxa"/>
          </w:tcPr>
          <w:p w:rsidR="00A4595A" w:rsidRPr="00AB61A4" w:rsidRDefault="00A4595A" w:rsidP="00A4595A">
            <w:pPr>
              <w:rPr>
                <w:b/>
              </w:rPr>
            </w:pPr>
            <w:r w:rsidRPr="00AB61A4">
              <w:rPr>
                <w:b/>
              </w:rPr>
              <w:t>Section 5.9</w:t>
            </w:r>
          </w:p>
          <w:p w:rsidR="00A4595A" w:rsidRPr="00AB61A4" w:rsidRDefault="00A4595A" w:rsidP="00A4595A">
            <w:pPr>
              <w:rPr>
                <w:b/>
              </w:rPr>
            </w:pPr>
            <w:r w:rsidRPr="00AB61A4">
              <w:rPr>
                <w:b/>
              </w:rPr>
              <w:t>Residential Development</w:t>
            </w:r>
          </w:p>
        </w:tc>
        <w:tc>
          <w:tcPr>
            <w:tcW w:w="7380" w:type="dxa"/>
          </w:tcPr>
          <w:p w:rsidR="00A4595A" w:rsidRDefault="00A4595A" w:rsidP="00A4595A">
            <w:r>
              <w:t xml:space="preserve">n/a </w:t>
            </w:r>
          </w:p>
        </w:tc>
      </w:tr>
      <w:tr w:rsidR="00A4595A" w:rsidTr="00256A04">
        <w:tc>
          <w:tcPr>
            <w:tcW w:w="3595" w:type="dxa"/>
          </w:tcPr>
          <w:p w:rsidR="00A4595A" w:rsidRPr="00AB61A4" w:rsidRDefault="00A4595A" w:rsidP="00A4595A">
            <w:pPr>
              <w:rPr>
                <w:b/>
              </w:rPr>
            </w:pPr>
            <w:r>
              <w:rPr>
                <w:b/>
              </w:rPr>
              <w:t>Section 6.2</w:t>
            </w:r>
          </w:p>
          <w:p w:rsidR="00A4595A" w:rsidRPr="00AB61A4" w:rsidRDefault="00A4595A" w:rsidP="00A4595A">
            <w:pPr>
              <w:rPr>
                <w:b/>
              </w:rPr>
            </w:pPr>
            <w:r w:rsidRPr="00AB61A4">
              <w:rPr>
                <w:b/>
              </w:rPr>
              <w:t>Shoreline Stabilization</w:t>
            </w:r>
          </w:p>
        </w:tc>
        <w:tc>
          <w:tcPr>
            <w:tcW w:w="7380" w:type="dxa"/>
          </w:tcPr>
          <w:p w:rsidR="00A4595A" w:rsidRDefault="00A4595A" w:rsidP="00A4595A">
            <w:r>
              <w:t>n/a</w:t>
            </w:r>
          </w:p>
        </w:tc>
      </w:tr>
      <w:tr w:rsidR="00A4595A" w:rsidTr="00256A04">
        <w:tc>
          <w:tcPr>
            <w:tcW w:w="3595" w:type="dxa"/>
          </w:tcPr>
          <w:p w:rsidR="00A4595A" w:rsidRPr="00626615" w:rsidRDefault="00A4595A" w:rsidP="00A4595A">
            <w:pPr>
              <w:rPr>
                <w:b/>
              </w:rPr>
            </w:pPr>
            <w:r>
              <w:rPr>
                <w:b/>
              </w:rPr>
              <w:lastRenderedPageBreak/>
              <w:t>Section 6.3</w:t>
            </w:r>
          </w:p>
          <w:p w:rsidR="00A4595A" w:rsidRPr="00FC6148" w:rsidRDefault="00A4595A" w:rsidP="00A4595A">
            <w:pPr>
              <w:rPr>
                <w:b/>
                <w:highlight w:val="yellow"/>
              </w:rPr>
            </w:pPr>
            <w:r w:rsidRPr="00626615">
              <w:rPr>
                <w:b/>
              </w:rPr>
              <w:t>Overwater Structures</w:t>
            </w:r>
          </w:p>
        </w:tc>
        <w:tc>
          <w:tcPr>
            <w:tcW w:w="7380" w:type="dxa"/>
          </w:tcPr>
          <w:p w:rsidR="00A4595A" w:rsidRDefault="00A4595A" w:rsidP="00A4595A">
            <w:pPr>
              <w:widowControl w:val="0"/>
              <w:tabs>
                <w:tab w:val="left" w:pos="0"/>
                <w:tab w:val="left" w:pos="9000"/>
              </w:tabs>
            </w:pPr>
            <w:r>
              <w:t>A</w:t>
            </w:r>
            <w:r w:rsidRPr="00C82788">
              <w:t xml:space="preserve">pplicable SMP regulations </w:t>
            </w:r>
            <w:r>
              <w:t>are</w:t>
            </w:r>
            <w:r w:rsidRPr="00C82788">
              <w:t xml:space="preserve"> summarized below.  </w:t>
            </w:r>
          </w:p>
          <w:p w:rsidR="00A4595A" w:rsidRPr="00C82788" w:rsidRDefault="00A4595A" w:rsidP="00A4595A">
            <w:pPr>
              <w:widowControl w:val="0"/>
              <w:tabs>
                <w:tab w:val="left" w:pos="0"/>
                <w:tab w:val="left" w:pos="9000"/>
              </w:tabs>
            </w:pPr>
          </w:p>
          <w:p w:rsidR="00A4595A" w:rsidRPr="00C82788" w:rsidRDefault="00A4595A" w:rsidP="00A4595A">
            <w:pPr>
              <w:spacing w:after="120"/>
            </w:pPr>
            <w:r>
              <w:t xml:space="preserve">SMP 6.3.7.1 – </w:t>
            </w:r>
            <w:r w:rsidRPr="00C82788">
              <w:t>New piling must be steel, concrete, plastic or untreated or approved treat</w:t>
            </w:r>
            <w:r>
              <w:t xml:space="preserve">ed wood, if approved by USACE. </w:t>
            </w:r>
            <w:r w:rsidRPr="00C82788">
              <w:t xml:space="preserve">Any piling subject to abrasion (and subsequent deposition of material into the water) must incorporate design features to minimize contact between </w:t>
            </w:r>
            <w:proofErr w:type="gramStart"/>
            <w:r w:rsidRPr="00C82788">
              <w:t>all of</w:t>
            </w:r>
            <w:proofErr w:type="gramEnd"/>
            <w:r w:rsidRPr="00C82788">
              <w:t xml:space="preserve"> the different components of overwater structures during all tidal elevations. </w:t>
            </w:r>
            <w:r>
              <w:t xml:space="preserve">New piling must be spaced at least twenty feet (20’) apart. </w:t>
            </w:r>
            <w:r w:rsidRPr="00015391">
              <w:t>Piling employed in piers or any other structure must have a minimum vertical clearance of 18 inches above extreme high water.</w:t>
            </w:r>
            <w:r w:rsidRPr="00C82788">
              <w:t xml:space="preserve"> Piles, floats, or other components in direct contact with water shall not be treated or coated with biocides such as paint or pentachlorophenol.  </w:t>
            </w:r>
          </w:p>
          <w:p w:rsidR="00A4595A" w:rsidRPr="00C82788" w:rsidRDefault="00A4595A" w:rsidP="00A4595A">
            <w:pPr>
              <w:spacing w:after="120"/>
              <w:ind w:left="360"/>
              <w:rPr>
                <w:b/>
              </w:rPr>
            </w:pPr>
            <w:r w:rsidRPr="00262670">
              <w:rPr>
                <w:b/>
              </w:rPr>
              <w:t xml:space="preserve">The proposal </w:t>
            </w:r>
            <w:r>
              <w:rPr>
                <w:b/>
              </w:rPr>
              <w:t>includes replacement of 20 creosote piles with ten</w:t>
            </w:r>
            <w:r w:rsidRPr="00EC0800">
              <w:rPr>
                <w:b/>
              </w:rPr>
              <w:t xml:space="preserve">, 10-inch </w:t>
            </w:r>
            <w:r w:rsidRPr="00262670">
              <w:rPr>
                <w:b/>
              </w:rPr>
              <w:t>galvanized steel pilings.</w:t>
            </w:r>
            <w:r>
              <w:rPr>
                <w:b/>
              </w:rPr>
              <w:t xml:space="preserve"> Piles will be spaced at least 20 feet apart where feasible; </w:t>
            </w:r>
            <w:proofErr w:type="gramStart"/>
            <w:r>
              <w:rPr>
                <w:b/>
              </w:rPr>
              <w:t>in order to</w:t>
            </w:r>
            <w:proofErr w:type="gramEnd"/>
            <w:r>
              <w:rPr>
                <w:b/>
              </w:rPr>
              <w:t xml:space="preserve"> secure the ramp, piles at the end of the pier will be approximately 18 feet apart. </w:t>
            </w:r>
            <w:r w:rsidRPr="00015391">
              <w:rPr>
                <w:b/>
                <w:shd w:val="clear" w:color="auto" w:fill="FFFFFF" w:themeFill="background1"/>
              </w:rPr>
              <w:t>Piles will have a minimum vertical clearance of 18 inches above extreme high water</w:t>
            </w:r>
            <w:r>
              <w:rPr>
                <w:b/>
                <w:shd w:val="clear" w:color="auto" w:fill="FFFFFF" w:themeFill="background1"/>
              </w:rPr>
              <w:t>,</w:t>
            </w:r>
            <w:r w:rsidRPr="00015391">
              <w:rPr>
                <w:b/>
                <w:shd w:val="clear" w:color="auto" w:fill="FFFFFF" w:themeFill="background1"/>
              </w:rPr>
              <w:t xml:space="preserve"> and the replacement pier and ramp will be set on top of pile caps and bolted.</w:t>
            </w:r>
            <w:r w:rsidRPr="005163AA">
              <w:rPr>
                <w:b/>
              </w:rPr>
              <w:t xml:space="preserve"> </w:t>
            </w:r>
            <w:r>
              <w:rPr>
                <w:b/>
              </w:rPr>
              <w:t>C</w:t>
            </w:r>
            <w:r w:rsidRPr="005163AA">
              <w:rPr>
                <w:b/>
              </w:rPr>
              <w:t>omponents will</w:t>
            </w:r>
            <w:r>
              <w:rPr>
                <w:b/>
              </w:rPr>
              <w:t xml:space="preserve"> not</w:t>
            </w:r>
            <w:r w:rsidRPr="005163AA">
              <w:rPr>
                <w:b/>
              </w:rPr>
              <w:t xml:space="preserve"> be treated or coated with biocides such as paint or pentachlorophenol.</w:t>
            </w:r>
            <w:r>
              <w:rPr>
                <w:b/>
              </w:rPr>
              <w:t xml:space="preserve"> (Condition 6)</w:t>
            </w:r>
            <w:r w:rsidRPr="00C82788">
              <w:rPr>
                <w:b/>
              </w:rPr>
              <w:t xml:space="preserve">  </w:t>
            </w:r>
          </w:p>
          <w:p w:rsidR="00A4595A" w:rsidRPr="00C82788" w:rsidRDefault="00A4595A" w:rsidP="00A4595A">
            <w:pPr>
              <w:spacing w:after="120"/>
            </w:pPr>
            <w:r>
              <w:t xml:space="preserve">SMP 6.3.7.2 – </w:t>
            </w:r>
            <w:r w:rsidRPr="00C82788">
              <w:t>The width of a proposed</w:t>
            </w:r>
            <w:r>
              <w:t xml:space="preserve"> new pier must not exceed 4 feet for single use. </w:t>
            </w:r>
            <w:r w:rsidRPr="00C82788">
              <w:t xml:space="preserve">Functional grating resulting in a total open area of a minimum of </w:t>
            </w:r>
            <w:r>
              <w:t>30%</w:t>
            </w:r>
            <w:r w:rsidRPr="00C82788">
              <w:t xml:space="preserve"> must be installed on all new piers that are</w:t>
            </w:r>
            <w:r>
              <w:t xml:space="preserve"> 4 to 6 feet wide; sections of the pier that span the intertidal areas with obligate vegetation must be fully grated with 60% open area.</w:t>
            </w:r>
            <w:r w:rsidRPr="00C82788">
              <w:t xml:space="preserve"> </w:t>
            </w:r>
          </w:p>
          <w:p w:rsidR="00A4595A" w:rsidRDefault="00A4595A" w:rsidP="00A4595A">
            <w:pPr>
              <w:spacing w:after="120"/>
              <w:ind w:left="360"/>
              <w:rPr>
                <w:b/>
              </w:rPr>
            </w:pPr>
            <w:r>
              <w:rPr>
                <w:b/>
              </w:rPr>
              <w:t>T</w:t>
            </w:r>
            <w:r w:rsidRPr="001247C4">
              <w:rPr>
                <w:b/>
              </w:rPr>
              <w:t>he proposed replacement includes ins</w:t>
            </w:r>
            <w:r>
              <w:rPr>
                <w:b/>
              </w:rPr>
              <w:t xml:space="preserve">tallation of a pre-fabricated, </w:t>
            </w:r>
            <w:proofErr w:type="gramStart"/>
            <w:r>
              <w:rPr>
                <w:b/>
              </w:rPr>
              <w:t>4</w:t>
            </w:r>
            <w:r w:rsidRPr="001247C4">
              <w:rPr>
                <w:b/>
              </w:rPr>
              <w:t xml:space="preserve"> foot wide</w:t>
            </w:r>
            <w:proofErr w:type="gramEnd"/>
            <w:r>
              <w:rPr>
                <w:b/>
              </w:rPr>
              <w:t>,</w:t>
            </w:r>
            <w:r w:rsidRPr="001247C4">
              <w:rPr>
                <w:b/>
              </w:rPr>
              <w:t xml:space="preserve"> fully grated aluminum pier</w:t>
            </w:r>
            <w:r>
              <w:rPr>
                <w:b/>
              </w:rPr>
              <w:t xml:space="preserve"> and ramp</w:t>
            </w:r>
            <w:r w:rsidRPr="001247C4">
              <w:rPr>
                <w:b/>
              </w:rPr>
              <w:t>. The total open area will be 70% (70% grating open area x 100% dock</w:t>
            </w:r>
            <w:r>
              <w:rPr>
                <w:b/>
              </w:rPr>
              <w:t xml:space="preserve"> and ramp area). </w:t>
            </w:r>
          </w:p>
          <w:p w:rsidR="00A4595A" w:rsidRDefault="00A4595A" w:rsidP="00A4595A">
            <w:pPr>
              <w:spacing w:after="120"/>
            </w:pPr>
            <w:r>
              <w:t>SMP 6.3.7.3</w:t>
            </w:r>
            <w:r w:rsidRPr="008F72EA">
              <w:t>–Functional</w:t>
            </w:r>
            <w:r w:rsidRPr="00C82788">
              <w:t xml:space="preserve"> grating must be insta</w:t>
            </w:r>
            <w:r>
              <w:t>lled on at least 50%</w:t>
            </w:r>
            <w:r w:rsidRPr="00C82788">
              <w:t xml:space="preserve"> of the surface area of the float. </w:t>
            </w:r>
            <w:r>
              <w:t>Flotation for the float shall be fully enclosed and contained in a shell. Flotation components must be installed under the solid portions of the float, not under the grating.</w:t>
            </w:r>
          </w:p>
          <w:p w:rsidR="00A4595A" w:rsidRDefault="00A4595A" w:rsidP="00A4595A">
            <w:pPr>
              <w:spacing w:after="120"/>
              <w:ind w:left="360"/>
              <w:rPr>
                <w:b/>
              </w:rPr>
            </w:pPr>
            <w:r w:rsidRPr="00820494">
              <w:rPr>
                <w:b/>
              </w:rPr>
              <w:t>The proposed</w:t>
            </w:r>
            <w:r>
              <w:rPr>
                <w:b/>
              </w:rPr>
              <w:t xml:space="preserve"> dock</w:t>
            </w:r>
            <w:r w:rsidRPr="00820494">
              <w:rPr>
                <w:b/>
              </w:rPr>
              <w:t xml:space="preserve"> replacement includes installat</w:t>
            </w:r>
            <w:r w:rsidR="006B41D2">
              <w:rPr>
                <w:b/>
              </w:rPr>
              <w:t xml:space="preserve">ion of a pre-fabricated, </w:t>
            </w:r>
            <w:r>
              <w:rPr>
                <w:b/>
              </w:rPr>
              <w:t xml:space="preserve">8 </w:t>
            </w:r>
            <w:proofErr w:type="gramStart"/>
            <w:r>
              <w:rPr>
                <w:b/>
              </w:rPr>
              <w:t>foot</w:t>
            </w:r>
            <w:proofErr w:type="gramEnd"/>
            <w:r>
              <w:rPr>
                <w:b/>
              </w:rPr>
              <w:t xml:space="preserve"> by 25</w:t>
            </w:r>
            <w:r w:rsidRPr="00820494">
              <w:rPr>
                <w:b/>
              </w:rPr>
              <w:t xml:space="preserve"> foot float. Functional grating will</w:t>
            </w:r>
            <w:r>
              <w:rPr>
                <w:b/>
              </w:rPr>
              <w:t xml:space="preserve"> be installed on 50%</w:t>
            </w:r>
            <w:r w:rsidRPr="00820494">
              <w:rPr>
                <w:b/>
              </w:rPr>
              <w:t xml:space="preserve"> of the surface area.</w:t>
            </w:r>
            <w:r>
              <w:rPr>
                <w:b/>
              </w:rPr>
              <w:t xml:space="preserve"> </w:t>
            </w:r>
            <w:r w:rsidRPr="006478B6">
              <w:rPr>
                <w:b/>
              </w:rPr>
              <w:t xml:space="preserve">The </w:t>
            </w:r>
            <w:r>
              <w:rPr>
                <w:b/>
              </w:rPr>
              <w:t xml:space="preserve">proposed </w:t>
            </w:r>
            <w:r w:rsidRPr="006478B6">
              <w:rPr>
                <w:b/>
              </w:rPr>
              <w:t>float will be installed over the same area as the existing float and wil</w:t>
            </w:r>
            <w:r w:rsidR="006B41D2">
              <w:rPr>
                <w:b/>
              </w:rPr>
              <w:t>l have the same dimensions (8 x</w:t>
            </w:r>
            <w:r w:rsidRPr="006478B6">
              <w:rPr>
                <w:b/>
              </w:rPr>
              <w:t xml:space="preserve"> 25 feet).</w:t>
            </w:r>
            <w:r>
              <w:rPr>
                <w:b/>
              </w:rPr>
              <w:t xml:space="preserve"> Floatation components will </w:t>
            </w:r>
            <w:proofErr w:type="gramStart"/>
            <w:r>
              <w:rPr>
                <w:b/>
              </w:rPr>
              <w:t>installed</w:t>
            </w:r>
            <w:proofErr w:type="gramEnd"/>
            <w:r>
              <w:rPr>
                <w:b/>
              </w:rPr>
              <w:t xml:space="preserve"> under the solid portions of the float and will be fully enclosed. (Condition 13)</w:t>
            </w:r>
          </w:p>
          <w:p w:rsidR="00A4595A" w:rsidRDefault="00A4595A" w:rsidP="00A4595A">
            <w:pPr>
              <w:spacing w:after="120"/>
            </w:pPr>
            <w:r>
              <w:t xml:space="preserve">SMP 6.3.7.3.1 – Floats need to be suspended a minimum of 1 foot above the substrate at all tide levels, using float stops or the least impacting method possible. </w:t>
            </w:r>
          </w:p>
          <w:p w:rsidR="00A4595A" w:rsidRPr="00574489" w:rsidRDefault="00A4595A" w:rsidP="00A4595A">
            <w:pPr>
              <w:spacing w:after="120"/>
              <w:ind w:left="360"/>
              <w:rPr>
                <w:b/>
              </w:rPr>
            </w:pPr>
            <w:r w:rsidRPr="00574489">
              <w:rPr>
                <w:b/>
              </w:rPr>
              <w:t xml:space="preserve">Float stops will be installed </w:t>
            </w:r>
            <w:r>
              <w:rPr>
                <w:b/>
              </w:rPr>
              <w:t>on pilings located at the 4</w:t>
            </w:r>
            <w:r w:rsidRPr="00574489">
              <w:rPr>
                <w:b/>
              </w:rPr>
              <w:t xml:space="preserve"> corners of the float, suspending floatation</w:t>
            </w:r>
            <w:r>
              <w:rPr>
                <w:b/>
              </w:rPr>
              <w:t xml:space="preserve"> tubs no less than 1 foot</w:t>
            </w:r>
            <w:r w:rsidRPr="00574489">
              <w:rPr>
                <w:b/>
              </w:rPr>
              <w:t xml:space="preserve"> from the substrate at all tide levels. </w:t>
            </w:r>
            <w:r w:rsidR="006B41D2">
              <w:rPr>
                <w:b/>
              </w:rPr>
              <w:t xml:space="preserve">(Condition </w:t>
            </w:r>
          </w:p>
          <w:p w:rsidR="00A4595A" w:rsidRPr="00C82788" w:rsidRDefault="00A4595A" w:rsidP="00A4595A">
            <w:pPr>
              <w:spacing w:after="240"/>
              <w:rPr>
                <w:highlight w:val="yellow"/>
              </w:rPr>
            </w:pPr>
            <w:r>
              <w:t xml:space="preserve">SMP 6.3.7.6 – </w:t>
            </w:r>
            <w:r w:rsidRPr="00C82788">
              <w:t xml:space="preserve">The overall length of the pier cannot extend beyond the average length of adjacent docks within five hundred feet (500’) of the proposed location or the distance necessary to obtain a depth of nine feet (9’) of water as measured at mean lower-low water (MLLW) at the landward limit of the </w:t>
            </w:r>
            <w:r w:rsidRPr="00C82788">
              <w:lastRenderedPageBreak/>
              <w:t>moorage slip, whichever is closer to shore.  A dock shall not extend beyond the adjoining property dock or the line of navigation. Docks, piers and floats must be set back a minimum of ten feet (10’) from side property lines.</w:t>
            </w:r>
          </w:p>
          <w:p w:rsidR="00A4595A" w:rsidRPr="00FF2371" w:rsidRDefault="00A4595A" w:rsidP="00A4595A">
            <w:pPr>
              <w:widowControl w:val="0"/>
              <w:tabs>
                <w:tab w:val="left" w:pos="360"/>
                <w:tab w:val="left" w:pos="9000"/>
              </w:tabs>
              <w:ind w:left="360"/>
              <w:rPr>
                <w:b/>
              </w:rPr>
            </w:pPr>
            <w:r>
              <w:rPr>
                <w:b/>
              </w:rPr>
              <w:t>The replacement structure may be the same bulk dimension as the existing structure (SMP Section 4.2.1.6.5). The proposed pier will be the same length as the existing pier (160 feet</w:t>
            </w:r>
            <w:r w:rsidRPr="00FF2371">
              <w:rPr>
                <w:b/>
              </w:rPr>
              <w:t xml:space="preserve">). </w:t>
            </w:r>
            <w:r>
              <w:rPr>
                <w:b/>
              </w:rPr>
              <w:t xml:space="preserve">However, there </w:t>
            </w:r>
            <w:r w:rsidRPr="00FF2371">
              <w:rPr>
                <w:b/>
              </w:rPr>
              <w:t>are two piers within 500 feet of the proposed pier, both of which excee</w:t>
            </w:r>
            <w:r>
              <w:rPr>
                <w:b/>
              </w:rPr>
              <w:t>d the subject pier in length</w:t>
            </w:r>
            <w:r w:rsidRPr="00FF2371">
              <w:rPr>
                <w:b/>
              </w:rPr>
              <w:t>. All portions of the proposed structu</w:t>
            </w:r>
            <w:r>
              <w:rPr>
                <w:b/>
              </w:rPr>
              <w:t xml:space="preserve">re are set back a minimum of 10 feet </w:t>
            </w:r>
            <w:r w:rsidRPr="00FF2371">
              <w:rPr>
                <w:b/>
              </w:rPr>
              <w:t>from side property lines.</w:t>
            </w:r>
            <w:r>
              <w:rPr>
                <w:b/>
              </w:rPr>
              <w:t xml:space="preserve"> </w:t>
            </w:r>
          </w:p>
        </w:tc>
      </w:tr>
    </w:tbl>
    <w:p w:rsidR="00C96238" w:rsidRDefault="00C96238" w:rsidP="00B03FBA">
      <w:pPr>
        <w:rPr>
          <w:b/>
        </w:rPr>
      </w:pPr>
    </w:p>
    <w:p w:rsidR="00B03FBA" w:rsidRPr="0034146C" w:rsidRDefault="00B03FBA" w:rsidP="00B03FBA">
      <w:pPr>
        <w:rPr>
          <w:b/>
        </w:rPr>
      </w:pPr>
      <w:r w:rsidRPr="0034146C">
        <w:rPr>
          <w:b/>
        </w:rPr>
        <w:t>Conditions of Approval</w:t>
      </w:r>
    </w:p>
    <w:tbl>
      <w:tblPr>
        <w:tblStyle w:val="TableGrid"/>
        <w:tblW w:w="0" w:type="auto"/>
        <w:tblLook w:val="04A0" w:firstRow="1" w:lastRow="0" w:firstColumn="1" w:lastColumn="0" w:noHBand="0" w:noVBand="1"/>
      </w:tblPr>
      <w:tblGrid>
        <w:gridCol w:w="10790"/>
      </w:tblGrid>
      <w:tr w:rsidR="00B03FBA" w:rsidRPr="00015D79" w:rsidTr="00B03FBA">
        <w:tc>
          <w:tcPr>
            <w:tcW w:w="10790" w:type="dxa"/>
          </w:tcPr>
          <w:p w:rsidR="005C0A2D" w:rsidRPr="0055275B" w:rsidRDefault="005C0A2D" w:rsidP="00626615">
            <w:pPr>
              <w:pStyle w:val="ListBullet"/>
              <w:numPr>
                <w:ilvl w:val="0"/>
                <w:numId w:val="4"/>
              </w:numPr>
              <w:tabs>
                <w:tab w:val="left" w:pos="720"/>
              </w:tabs>
              <w:spacing w:before="120"/>
              <w:rPr>
                <w:rFonts w:ascii="Calibri" w:hAnsi="Calibri"/>
                <w:sz w:val="22"/>
                <w:szCs w:val="22"/>
              </w:rPr>
            </w:pPr>
            <w:r w:rsidRPr="0055275B">
              <w:rPr>
                <w:rFonts w:asciiTheme="minorHAnsi" w:hAnsiTheme="minorHAnsi"/>
                <w:sz w:val="22"/>
                <w:szCs w:val="22"/>
              </w:rPr>
              <w:t>All work must be in s</w:t>
            </w:r>
            <w:r w:rsidR="006003FB" w:rsidRPr="0055275B">
              <w:rPr>
                <w:rFonts w:asciiTheme="minorHAnsi" w:hAnsiTheme="minorHAnsi"/>
                <w:sz w:val="22"/>
                <w:szCs w:val="22"/>
              </w:rPr>
              <w:t xml:space="preserve">ubstantial compliance with the </w:t>
            </w:r>
            <w:r w:rsidR="0034146C" w:rsidRPr="0055275B">
              <w:rPr>
                <w:rFonts w:asciiTheme="minorHAnsi" w:hAnsiTheme="minorHAnsi"/>
                <w:sz w:val="22"/>
                <w:szCs w:val="22"/>
              </w:rPr>
              <w:t>SSDE application materials</w:t>
            </w:r>
            <w:r w:rsidR="006B41D2">
              <w:rPr>
                <w:rFonts w:asciiTheme="minorHAnsi" w:hAnsiTheme="minorHAnsi"/>
                <w:sz w:val="22"/>
                <w:szCs w:val="22"/>
              </w:rPr>
              <w:t>, dated June 8, 2017 and June 14, 2017 (revisions)</w:t>
            </w:r>
            <w:r w:rsidR="0034146C" w:rsidRPr="009240EF">
              <w:rPr>
                <w:rFonts w:asciiTheme="minorHAnsi" w:hAnsiTheme="minorHAnsi"/>
                <w:sz w:val="22"/>
                <w:szCs w:val="22"/>
              </w:rPr>
              <w:t>.</w:t>
            </w:r>
          </w:p>
          <w:p w:rsidR="00626615" w:rsidRPr="0055275B" w:rsidRDefault="00626615" w:rsidP="00626615">
            <w:pPr>
              <w:pStyle w:val="ListBullet"/>
              <w:numPr>
                <w:ilvl w:val="0"/>
                <w:numId w:val="4"/>
              </w:numPr>
              <w:tabs>
                <w:tab w:val="left" w:pos="720"/>
              </w:tabs>
              <w:spacing w:before="120"/>
              <w:rPr>
                <w:rFonts w:ascii="Calibri" w:hAnsi="Calibri"/>
                <w:sz w:val="22"/>
                <w:szCs w:val="22"/>
              </w:rPr>
            </w:pPr>
            <w:r w:rsidRPr="0055275B">
              <w:rPr>
                <w:rFonts w:ascii="Calibri" w:hAnsi="Calibri"/>
                <w:sz w:val="22"/>
                <w:szCs w:val="22"/>
              </w:rPr>
              <w:t>Activities to be undertaken as part of this permit require approvals or permits from the Washington Department of Fish and Wildlife a</w:t>
            </w:r>
            <w:r w:rsidR="0055275B" w:rsidRPr="0055275B">
              <w:rPr>
                <w:rFonts w:ascii="Calibri" w:hAnsi="Calibri"/>
                <w:sz w:val="22"/>
                <w:szCs w:val="22"/>
              </w:rPr>
              <w:t>nd US Army Corps of Engineers. </w:t>
            </w:r>
            <w:r w:rsidRPr="0055275B">
              <w:rPr>
                <w:rFonts w:ascii="Calibri" w:hAnsi="Calibri"/>
                <w:sz w:val="22"/>
                <w:szCs w:val="22"/>
              </w:rPr>
              <w:t xml:space="preserve">Evidence of required approvals shall be submitted to the City prior to </w:t>
            </w:r>
            <w:r w:rsidR="0034146C" w:rsidRPr="0055275B">
              <w:rPr>
                <w:rFonts w:ascii="Calibri" w:hAnsi="Calibri"/>
                <w:sz w:val="22"/>
                <w:szCs w:val="22"/>
              </w:rPr>
              <w:t>start of work</w:t>
            </w:r>
            <w:r w:rsidRPr="0055275B">
              <w:rPr>
                <w:rFonts w:ascii="Calibri" w:hAnsi="Calibri"/>
                <w:sz w:val="22"/>
                <w:szCs w:val="22"/>
              </w:rPr>
              <w:t>.</w:t>
            </w:r>
          </w:p>
          <w:p w:rsidR="00626615" w:rsidRPr="0055275B" w:rsidRDefault="00626615" w:rsidP="00626615">
            <w:pPr>
              <w:pStyle w:val="ListBullet"/>
              <w:numPr>
                <w:ilvl w:val="0"/>
                <w:numId w:val="4"/>
              </w:numPr>
              <w:tabs>
                <w:tab w:val="left" w:pos="720"/>
              </w:tabs>
              <w:spacing w:before="120"/>
              <w:rPr>
                <w:rFonts w:ascii="Calibri" w:hAnsi="Calibri"/>
                <w:sz w:val="22"/>
                <w:szCs w:val="22"/>
              </w:rPr>
            </w:pPr>
            <w:r w:rsidRPr="0055275B">
              <w:rPr>
                <w:rFonts w:ascii="Calibri" w:hAnsi="Calibri"/>
                <w:sz w:val="22"/>
                <w:szCs w:val="22"/>
              </w:rPr>
              <w:t xml:space="preserve">All in-water and over-water installation and construction activities shall adhere to authorized work windows established by the Washington Department of Fish and Wildlife provisions found in WAC 220-660-330 and </w:t>
            </w:r>
            <w:r w:rsidR="0034146C" w:rsidRPr="0055275B">
              <w:rPr>
                <w:rFonts w:ascii="Calibri" w:hAnsi="Calibri"/>
                <w:sz w:val="22"/>
                <w:szCs w:val="22"/>
              </w:rPr>
              <w:t>as specified in the LOP issued by the US Army Corps of Engineers</w:t>
            </w:r>
            <w:r w:rsidRPr="0055275B">
              <w:rPr>
                <w:rFonts w:ascii="Calibri" w:hAnsi="Calibri"/>
                <w:sz w:val="22"/>
                <w:szCs w:val="22"/>
              </w:rPr>
              <w:t>.</w:t>
            </w:r>
          </w:p>
          <w:p w:rsidR="00015D79" w:rsidRPr="0055275B" w:rsidRDefault="00015D79" w:rsidP="00015D79">
            <w:pPr>
              <w:pStyle w:val="ListBullet"/>
              <w:numPr>
                <w:ilvl w:val="0"/>
                <w:numId w:val="4"/>
              </w:numPr>
              <w:tabs>
                <w:tab w:val="left" w:pos="720"/>
              </w:tabs>
              <w:spacing w:before="120"/>
              <w:rPr>
                <w:rFonts w:ascii="Calibri" w:hAnsi="Calibri"/>
                <w:sz w:val="22"/>
                <w:szCs w:val="22"/>
              </w:rPr>
            </w:pPr>
            <w:r w:rsidRPr="0055275B">
              <w:rPr>
                <w:rFonts w:ascii="Calibri" w:hAnsi="Calibri"/>
                <w:sz w:val="22"/>
                <w:szCs w:val="22"/>
              </w:rPr>
              <w:t>No over-water application of paint, preservative treatment, or other chemical compounds shall be permitted at any time.</w:t>
            </w:r>
          </w:p>
          <w:p w:rsidR="00015D79" w:rsidRPr="0055275B" w:rsidRDefault="00015D79" w:rsidP="00015D79">
            <w:pPr>
              <w:pStyle w:val="ListBullet"/>
              <w:numPr>
                <w:ilvl w:val="0"/>
                <w:numId w:val="4"/>
              </w:numPr>
              <w:tabs>
                <w:tab w:val="left" w:pos="720"/>
              </w:tabs>
              <w:spacing w:before="120"/>
              <w:rPr>
                <w:rFonts w:ascii="Calibri" w:hAnsi="Calibri"/>
                <w:sz w:val="22"/>
                <w:szCs w:val="22"/>
              </w:rPr>
            </w:pPr>
            <w:r w:rsidRPr="0055275B">
              <w:rPr>
                <w:rFonts w:ascii="Calibri" w:hAnsi="Calibri"/>
                <w:sz w:val="22"/>
                <w:szCs w:val="22"/>
              </w:rPr>
              <w:t xml:space="preserve">All materials that may contact surface water shall be constructed of materials that will not adversely affect water quality or aquatic plants or animals.  </w:t>
            </w:r>
          </w:p>
          <w:p w:rsidR="00015D79" w:rsidRPr="0055275B" w:rsidRDefault="00015D79" w:rsidP="00015D79">
            <w:pPr>
              <w:pStyle w:val="ListBullet"/>
              <w:numPr>
                <w:ilvl w:val="0"/>
                <w:numId w:val="4"/>
              </w:numPr>
              <w:tabs>
                <w:tab w:val="left" w:pos="720"/>
              </w:tabs>
              <w:spacing w:before="120"/>
              <w:rPr>
                <w:rFonts w:ascii="Calibri" w:hAnsi="Calibri"/>
                <w:sz w:val="22"/>
                <w:szCs w:val="22"/>
              </w:rPr>
            </w:pPr>
            <w:r w:rsidRPr="0055275B">
              <w:rPr>
                <w:rFonts w:ascii="Calibri" w:hAnsi="Calibri"/>
                <w:sz w:val="22"/>
                <w:szCs w:val="22"/>
              </w:rPr>
              <w:t>Wood that is treated with creosote, copper chromium arsenic (CCA) or pentachlorophenol (PCP) is prohibited.</w:t>
            </w:r>
          </w:p>
          <w:p w:rsidR="006003FB" w:rsidRPr="000552F5" w:rsidRDefault="006003FB" w:rsidP="006003FB">
            <w:pPr>
              <w:pStyle w:val="ListBullet"/>
              <w:numPr>
                <w:ilvl w:val="0"/>
                <w:numId w:val="4"/>
              </w:numPr>
              <w:tabs>
                <w:tab w:val="left" w:pos="720"/>
              </w:tabs>
              <w:spacing w:before="120"/>
              <w:rPr>
                <w:rFonts w:ascii="Calibri" w:hAnsi="Calibri"/>
                <w:sz w:val="22"/>
                <w:szCs w:val="22"/>
              </w:rPr>
            </w:pPr>
            <w:r w:rsidRPr="000552F5">
              <w:rPr>
                <w:rFonts w:ascii="Calibri" w:hAnsi="Calibri"/>
                <w:sz w:val="22"/>
                <w:szCs w:val="22"/>
              </w:rPr>
              <w:t>Any equipment used in or around waters shall be clean and inspected daily before use to ensure that the equipment has no fluid leaks. Should a leak develop during use, the leaking equipment will be removed from the site immediately and not used again until it has been adequately repaired. Equipment should be stored and/or fueled at least 100 feet from any surface water where possible.</w:t>
            </w:r>
          </w:p>
          <w:p w:rsidR="006003FB" w:rsidRPr="000552F5" w:rsidRDefault="006003FB" w:rsidP="006003FB">
            <w:pPr>
              <w:pStyle w:val="ListBullet"/>
              <w:numPr>
                <w:ilvl w:val="0"/>
                <w:numId w:val="4"/>
              </w:numPr>
              <w:tabs>
                <w:tab w:val="left" w:pos="720"/>
              </w:tabs>
              <w:spacing w:before="120"/>
              <w:rPr>
                <w:rFonts w:ascii="Calibri" w:hAnsi="Calibri"/>
                <w:sz w:val="22"/>
                <w:szCs w:val="22"/>
              </w:rPr>
            </w:pPr>
            <w:r w:rsidRPr="000552F5">
              <w:rPr>
                <w:rFonts w:ascii="Calibri" w:hAnsi="Calibri"/>
                <w:sz w:val="22"/>
                <w:szCs w:val="22"/>
              </w:rPr>
              <w:t>Extreme care shall be taken to prevent petroleum products, chemicals, or other toxic or deleterious materials from entering the wat</w:t>
            </w:r>
            <w:r w:rsidR="000552F5" w:rsidRPr="000552F5">
              <w:rPr>
                <w:rFonts w:ascii="Calibri" w:hAnsi="Calibri"/>
                <w:sz w:val="22"/>
                <w:szCs w:val="22"/>
              </w:rPr>
              <w:t>er and degrading water quality.</w:t>
            </w:r>
            <w:r w:rsidRPr="000552F5">
              <w:rPr>
                <w:rFonts w:ascii="Calibri" w:hAnsi="Calibri"/>
                <w:sz w:val="22"/>
                <w:szCs w:val="22"/>
              </w:rPr>
              <w:t xml:space="preserve"> If a spill does occur, or if oil sheen or any distressed or dying fish are observed in the project vicinity, work shall cease immediately and Washington Department of Ecology shall b</w:t>
            </w:r>
            <w:r w:rsidR="000552F5" w:rsidRPr="000552F5">
              <w:rPr>
                <w:rFonts w:ascii="Calibri" w:hAnsi="Calibri"/>
                <w:sz w:val="22"/>
                <w:szCs w:val="22"/>
              </w:rPr>
              <w:t xml:space="preserve">e notified of such conditions. </w:t>
            </w:r>
            <w:r w:rsidRPr="000552F5">
              <w:rPr>
                <w:rFonts w:ascii="Calibri" w:hAnsi="Calibri"/>
                <w:sz w:val="22"/>
                <w:szCs w:val="22"/>
              </w:rPr>
              <w:t>Contact:  Northwest Regional Spill Response Section at (206) 649-7000.</w:t>
            </w:r>
          </w:p>
          <w:p w:rsidR="00626615" w:rsidRPr="000552F5" w:rsidRDefault="0055275B" w:rsidP="000552F5">
            <w:pPr>
              <w:pStyle w:val="ListBullet"/>
              <w:numPr>
                <w:ilvl w:val="0"/>
                <w:numId w:val="4"/>
              </w:numPr>
              <w:tabs>
                <w:tab w:val="left" w:pos="720"/>
              </w:tabs>
              <w:spacing w:before="120"/>
              <w:rPr>
                <w:rFonts w:ascii="Calibri" w:hAnsi="Calibri"/>
                <w:sz w:val="22"/>
                <w:szCs w:val="22"/>
              </w:rPr>
            </w:pPr>
            <w:r w:rsidRPr="000552F5">
              <w:rPr>
                <w:rFonts w:ascii="Calibri" w:hAnsi="Calibri"/>
                <w:sz w:val="22"/>
                <w:szCs w:val="22"/>
              </w:rPr>
              <w:t>The</w:t>
            </w:r>
            <w:r w:rsidR="006003FB" w:rsidRPr="000552F5">
              <w:rPr>
                <w:rFonts w:ascii="Calibri" w:hAnsi="Calibri"/>
                <w:sz w:val="22"/>
                <w:szCs w:val="22"/>
              </w:rPr>
              <w:t xml:space="preserve"> barge shall not be allowed to ground.</w:t>
            </w:r>
          </w:p>
          <w:p w:rsidR="000774CF" w:rsidRPr="000552F5" w:rsidRDefault="000774CF" w:rsidP="006003FB">
            <w:pPr>
              <w:pStyle w:val="ListBullet"/>
              <w:numPr>
                <w:ilvl w:val="0"/>
                <w:numId w:val="4"/>
              </w:numPr>
              <w:tabs>
                <w:tab w:val="left" w:pos="720"/>
              </w:tabs>
              <w:spacing w:before="120"/>
              <w:rPr>
                <w:rFonts w:ascii="Calibri" w:hAnsi="Calibri"/>
                <w:sz w:val="22"/>
                <w:szCs w:val="22"/>
              </w:rPr>
            </w:pPr>
            <w:r w:rsidRPr="000552F5">
              <w:rPr>
                <w:rFonts w:ascii="Calibri" w:hAnsi="Calibri"/>
                <w:sz w:val="22"/>
                <w:szCs w:val="22"/>
              </w:rPr>
              <w:t>All construction activities shall comply with</w:t>
            </w:r>
            <w:bookmarkStart w:id="0" w:name="hit9"/>
            <w:bookmarkEnd w:id="0"/>
            <w:r w:rsidRPr="000552F5">
              <w:rPr>
                <w:rFonts w:ascii="Calibri" w:hAnsi="Calibri"/>
                <w:sz w:val="22"/>
                <w:szCs w:val="22"/>
              </w:rPr>
              <w:t xml:space="preserve"> noise limitations in residential zones per BIMC 16.16.020.</w:t>
            </w:r>
          </w:p>
          <w:p w:rsidR="00B03FBA" w:rsidRDefault="000774CF" w:rsidP="006003FB">
            <w:pPr>
              <w:pStyle w:val="ListBullet"/>
              <w:numPr>
                <w:ilvl w:val="0"/>
                <w:numId w:val="4"/>
              </w:numPr>
              <w:tabs>
                <w:tab w:val="left" w:pos="720"/>
              </w:tabs>
              <w:spacing w:before="120"/>
              <w:rPr>
                <w:rFonts w:ascii="Calibri" w:hAnsi="Calibri"/>
                <w:sz w:val="22"/>
                <w:szCs w:val="22"/>
              </w:rPr>
            </w:pPr>
            <w:r w:rsidRPr="000552F5">
              <w:rPr>
                <w:rFonts w:ascii="Calibri" w:hAnsi="Calibri"/>
                <w:sz w:val="22"/>
                <w:szCs w:val="22"/>
              </w:rPr>
              <w:t>Any use, construction, placement, removal, alteration, or demolition of any structure, land, vegetation or property in a manner that violates the terms or conditions of this exemption shall be considered a violation of the Bainbridge Island Shoreline Master Program and be subject to the applicable violations, enforcement and penalties provisions of the Program.</w:t>
            </w:r>
          </w:p>
          <w:p w:rsidR="000552F5" w:rsidRDefault="000552F5" w:rsidP="000552F5">
            <w:pPr>
              <w:pStyle w:val="ListBullet"/>
              <w:numPr>
                <w:ilvl w:val="0"/>
                <w:numId w:val="4"/>
              </w:numPr>
              <w:tabs>
                <w:tab w:val="left" w:pos="720"/>
              </w:tabs>
              <w:spacing w:before="120"/>
              <w:rPr>
                <w:rFonts w:ascii="Calibri" w:hAnsi="Calibri"/>
                <w:sz w:val="22"/>
                <w:szCs w:val="22"/>
              </w:rPr>
            </w:pPr>
            <w:r w:rsidRPr="00775C3E">
              <w:rPr>
                <w:rFonts w:ascii="Calibri" w:hAnsi="Calibri"/>
                <w:sz w:val="22"/>
                <w:szCs w:val="22"/>
              </w:rPr>
              <w:t>Best Management Practices</w:t>
            </w:r>
            <w:r>
              <w:rPr>
                <w:rFonts w:ascii="Calibri" w:hAnsi="Calibri"/>
                <w:sz w:val="22"/>
                <w:szCs w:val="22"/>
              </w:rPr>
              <w:t xml:space="preserve"> (BMPs)</w:t>
            </w:r>
            <w:r w:rsidRPr="00775C3E">
              <w:rPr>
                <w:rFonts w:ascii="Calibri" w:hAnsi="Calibri"/>
                <w:sz w:val="22"/>
                <w:szCs w:val="22"/>
              </w:rPr>
              <w:t xml:space="preserve"> for construction practices shall be followed </w:t>
            </w:r>
            <w:proofErr w:type="gramStart"/>
            <w:r w:rsidRPr="00775C3E">
              <w:rPr>
                <w:rFonts w:ascii="Calibri" w:hAnsi="Calibri"/>
                <w:sz w:val="22"/>
                <w:szCs w:val="22"/>
              </w:rPr>
              <w:t>at all times</w:t>
            </w:r>
            <w:proofErr w:type="gramEnd"/>
            <w:r w:rsidRPr="00775C3E">
              <w:rPr>
                <w:rFonts w:ascii="Calibri" w:hAnsi="Calibri"/>
                <w:sz w:val="22"/>
                <w:szCs w:val="22"/>
              </w:rPr>
              <w:t xml:space="preserve"> to prevent adverse environmental impacts to water quality.</w:t>
            </w:r>
          </w:p>
          <w:p w:rsidR="000552F5" w:rsidRDefault="000552F5" w:rsidP="000552F5">
            <w:pPr>
              <w:pStyle w:val="ListBullet"/>
              <w:numPr>
                <w:ilvl w:val="0"/>
                <w:numId w:val="4"/>
              </w:numPr>
              <w:tabs>
                <w:tab w:val="left" w:pos="720"/>
              </w:tabs>
              <w:spacing w:before="120"/>
              <w:rPr>
                <w:rFonts w:ascii="Calibri" w:hAnsi="Calibri"/>
                <w:sz w:val="22"/>
                <w:szCs w:val="22"/>
              </w:rPr>
            </w:pPr>
            <w:r w:rsidRPr="00850AB6">
              <w:rPr>
                <w:rFonts w:ascii="Calibri" w:hAnsi="Calibri"/>
                <w:sz w:val="22"/>
                <w:szCs w:val="22"/>
              </w:rPr>
              <w:t xml:space="preserve">Flotation for the float shall be fully enclosed and contained in a shell (e.g., polystyrene tubs not shrink wrapped or sprayed coatings) that prevents breakup or loss of the flotation material into the water and is not </w:t>
            </w:r>
            <w:r w:rsidRPr="00850AB6">
              <w:rPr>
                <w:rFonts w:ascii="Calibri" w:hAnsi="Calibri"/>
                <w:sz w:val="22"/>
                <w:szCs w:val="22"/>
              </w:rPr>
              <w:lastRenderedPageBreak/>
              <w:t>readily subject to damage by ultraviolet radiation and/or abrasion caused by rubbing against piling and/or waterborne debris. Flotation</w:t>
            </w:r>
            <w:r>
              <w:t xml:space="preserve"> </w:t>
            </w:r>
            <w:r w:rsidRPr="00850AB6">
              <w:rPr>
                <w:rFonts w:ascii="Calibri" w:hAnsi="Calibri"/>
                <w:sz w:val="22"/>
                <w:szCs w:val="22"/>
              </w:rPr>
              <w:t>components shall be installed under the solid portions of the float, not under the grating.</w:t>
            </w:r>
          </w:p>
          <w:p w:rsidR="006B41D2" w:rsidRDefault="006B41D2" w:rsidP="000552F5">
            <w:pPr>
              <w:pStyle w:val="ListBullet"/>
              <w:numPr>
                <w:ilvl w:val="0"/>
                <w:numId w:val="4"/>
              </w:numPr>
              <w:tabs>
                <w:tab w:val="left" w:pos="720"/>
              </w:tabs>
              <w:spacing w:before="120"/>
              <w:rPr>
                <w:rFonts w:ascii="Calibri" w:hAnsi="Calibri"/>
                <w:sz w:val="22"/>
                <w:szCs w:val="22"/>
              </w:rPr>
            </w:pPr>
            <w:r>
              <w:rPr>
                <w:rFonts w:ascii="Calibri" w:hAnsi="Calibri"/>
                <w:sz w:val="22"/>
                <w:szCs w:val="22"/>
              </w:rPr>
              <w:t>Float stops shall be installed on pilings located at the 4 corners of the float, suspending floatation tubs no less than 1 foot from the substrate at all tide levels.</w:t>
            </w:r>
          </w:p>
          <w:p w:rsidR="00A4595A" w:rsidRPr="006B41D2" w:rsidRDefault="00A4595A" w:rsidP="00A4595A">
            <w:pPr>
              <w:pStyle w:val="ListBullet"/>
              <w:numPr>
                <w:ilvl w:val="0"/>
                <w:numId w:val="4"/>
              </w:numPr>
              <w:tabs>
                <w:tab w:val="left" w:pos="720"/>
              </w:tabs>
              <w:spacing w:before="120"/>
              <w:rPr>
                <w:rFonts w:ascii="Calibri" w:hAnsi="Calibri"/>
                <w:sz w:val="22"/>
                <w:szCs w:val="22"/>
              </w:rPr>
            </w:pPr>
            <w:r w:rsidRPr="006B41D2">
              <w:rPr>
                <w:rFonts w:ascii="Calibri" w:hAnsi="Calibri"/>
                <w:sz w:val="22"/>
                <w:szCs w:val="22"/>
              </w:rPr>
              <w:t>If any historical or archaeological artifacts are uncovered during excavation or construction, work shall immediately stop and the Department of Planning and Community Development and the Washington State Department of Archaeology and Historic Preservation shall be immediately notified. Construction shall only continue thereafter in compliance with the applicable provisions of law.</w:t>
            </w:r>
          </w:p>
          <w:p w:rsidR="000552F5" w:rsidRDefault="000552F5" w:rsidP="006003FB">
            <w:pPr>
              <w:pStyle w:val="ListBullet"/>
              <w:numPr>
                <w:ilvl w:val="0"/>
                <w:numId w:val="4"/>
              </w:numPr>
              <w:tabs>
                <w:tab w:val="left" w:pos="720"/>
              </w:tabs>
              <w:spacing w:before="120"/>
              <w:rPr>
                <w:rFonts w:ascii="Calibri" w:hAnsi="Calibri"/>
                <w:sz w:val="22"/>
                <w:szCs w:val="22"/>
              </w:rPr>
            </w:pPr>
            <w:r w:rsidRPr="00A72525">
              <w:rPr>
                <w:rFonts w:ascii="Calibri" w:hAnsi="Calibri"/>
                <w:sz w:val="22"/>
                <w:szCs w:val="22"/>
              </w:rPr>
              <w:t>A building permit is required prior to the start of any construction.</w:t>
            </w:r>
          </w:p>
          <w:p w:rsidR="006B41D2" w:rsidRDefault="00824D78" w:rsidP="006003FB">
            <w:pPr>
              <w:pStyle w:val="ListBullet"/>
              <w:numPr>
                <w:ilvl w:val="0"/>
                <w:numId w:val="4"/>
              </w:numPr>
              <w:tabs>
                <w:tab w:val="left" w:pos="720"/>
              </w:tabs>
              <w:spacing w:before="120"/>
              <w:rPr>
                <w:rFonts w:ascii="Calibri" w:hAnsi="Calibri"/>
                <w:sz w:val="22"/>
                <w:szCs w:val="22"/>
              </w:rPr>
            </w:pPr>
            <w:r>
              <w:rPr>
                <w:rFonts w:ascii="Calibri" w:hAnsi="Calibri"/>
                <w:sz w:val="22"/>
                <w:szCs w:val="22"/>
              </w:rPr>
              <w:t>Materials removed from the project site as a part of the project shall be disposed of at an appropriate upland location.</w:t>
            </w:r>
          </w:p>
          <w:p w:rsidR="00FB479E" w:rsidRPr="00015D79" w:rsidRDefault="00FB479E" w:rsidP="00FB479E">
            <w:pPr>
              <w:pStyle w:val="ListBullet"/>
              <w:numPr>
                <w:ilvl w:val="0"/>
                <w:numId w:val="4"/>
              </w:numPr>
              <w:tabs>
                <w:tab w:val="left" w:pos="720"/>
              </w:tabs>
              <w:spacing w:before="120"/>
              <w:rPr>
                <w:rFonts w:ascii="Calibri" w:hAnsi="Calibri"/>
                <w:sz w:val="22"/>
                <w:szCs w:val="22"/>
              </w:rPr>
            </w:pPr>
            <w:r w:rsidRPr="00FB479E">
              <w:rPr>
                <w:rFonts w:ascii="Calibri" w:hAnsi="Calibri"/>
                <w:sz w:val="22"/>
                <w:szCs w:val="22"/>
              </w:rPr>
              <w:t>FEMA Endangered Species Act (ESA) Requirements: Any construction or development occurring within a FEMA Special Flood Hazard Area (SFHA) shall require a report demonstrating “no adverse effect” to ESA listed species.  Please reference https://www.fema.gov/national-flood-insurance-program-endangered-species-act</w:t>
            </w:r>
            <w:r>
              <w:rPr>
                <w:rFonts w:ascii="Calibri" w:hAnsi="Calibri"/>
                <w:sz w:val="22"/>
                <w:szCs w:val="22"/>
              </w:rPr>
              <w:t>.</w:t>
            </w:r>
            <w:bookmarkStart w:id="1" w:name="_GoBack"/>
            <w:bookmarkEnd w:id="1"/>
          </w:p>
        </w:tc>
      </w:tr>
    </w:tbl>
    <w:p w:rsidR="00B03FBA" w:rsidRPr="00015D79" w:rsidRDefault="00B03FBA" w:rsidP="00B03FBA">
      <w:pPr>
        <w:rPr>
          <w:b/>
        </w:rPr>
      </w:pPr>
    </w:p>
    <w:p w:rsidR="00F3294D" w:rsidRDefault="00F3294D" w:rsidP="00F3294D">
      <w:pPr>
        <w:rPr>
          <w:b/>
        </w:rPr>
      </w:pPr>
      <w:r>
        <w:rPr>
          <w:b/>
        </w:rPr>
        <w:t>Attachments</w:t>
      </w:r>
    </w:p>
    <w:tbl>
      <w:tblPr>
        <w:tblStyle w:val="TableGrid"/>
        <w:tblW w:w="0" w:type="auto"/>
        <w:tblLook w:val="04A0" w:firstRow="1" w:lastRow="0" w:firstColumn="1" w:lastColumn="0" w:noHBand="0" w:noVBand="1"/>
      </w:tblPr>
      <w:tblGrid>
        <w:gridCol w:w="10790"/>
      </w:tblGrid>
      <w:tr w:rsidR="00F3294D" w:rsidTr="002B5EC5">
        <w:trPr>
          <w:trHeight w:val="70"/>
        </w:trPr>
        <w:tc>
          <w:tcPr>
            <w:tcW w:w="10790" w:type="dxa"/>
            <w:shd w:val="clear" w:color="auto" w:fill="auto"/>
          </w:tcPr>
          <w:p w:rsidR="00F3294D" w:rsidRPr="00991DB4" w:rsidRDefault="00F3294D" w:rsidP="002B0AED">
            <w:r w:rsidRPr="00991DB4">
              <w:t>A: SSDE application</w:t>
            </w:r>
            <w:r w:rsidR="002B5EC5">
              <w:t xml:space="preserve"> and site plan</w:t>
            </w:r>
            <w:r w:rsidRPr="00991DB4">
              <w:t xml:space="preserve"> </w:t>
            </w:r>
            <w:r w:rsidR="000949E9" w:rsidRPr="00991DB4">
              <w:t xml:space="preserve">(date-stamped </w:t>
            </w:r>
            <w:r w:rsidR="002B5EC5">
              <w:t>June 30</w:t>
            </w:r>
            <w:r w:rsidR="00991DB4" w:rsidRPr="00991DB4">
              <w:t>, 2017</w:t>
            </w:r>
            <w:r w:rsidR="000949E9" w:rsidRPr="00991DB4">
              <w:t>)</w:t>
            </w:r>
          </w:p>
          <w:p w:rsidR="004536A4" w:rsidRPr="00991DB4" w:rsidRDefault="00F3294D" w:rsidP="004536A4">
            <w:r w:rsidRPr="00991DB4">
              <w:t xml:space="preserve">B: </w:t>
            </w:r>
            <w:r w:rsidR="00B471C0" w:rsidRPr="00991DB4">
              <w:t>SEPA checklist</w:t>
            </w:r>
            <w:r w:rsidR="002B5EC5">
              <w:t xml:space="preserve"> </w:t>
            </w:r>
          </w:p>
          <w:p w:rsidR="002B5EC5" w:rsidRDefault="0055275B" w:rsidP="002B5EC5">
            <w:r w:rsidRPr="00991DB4">
              <w:t>C: Single Family Residence Shoreline Mi</w:t>
            </w:r>
            <w:r w:rsidR="002B5EC5">
              <w:t xml:space="preserve">tigation Manual </w:t>
            </w:r>
          </w:p>
          <w:p w:rsidR="002B5EC5" w:rsidRPr="000774CF" w:rsidRDefault="0055275B" w:rsidP="002B5EC5">
            <w:r w:rsidRPr="009240EF">
              <w:t xml:space="preserve">D: </w:t>
            </w:r>
            <w:r w:rsidR="006F11B6">
              <w:t xml:space="preserve">Site Specific Impact </w:t>
            </w:r>
            <w:r w:rsidRPr="009240EF">
              <w:t>Analysis (</w:t>
            </w:r>
            <w:r w:rsidR="009240EF" w:rsidRPr="009240EF">
              <w:t>f</w:t>
            </w:r>
            <w:r w:rsidR="002B5EC5">
              <w:t>or use of the barge)</w:t>
            </w:r>
          </w:p>
        </w:tc>
      </w:tr>
    </w:tbl>
    <w:p w:rsidR="00B03FBA" w:rsidRDefault="00B03FBA"/>
    <w:sectPr w:rsidR="00B03FBA" w:rsidSect="0014080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105" w:rsidRDefault="00954105" w:rsidP="000774CF">
      <w:pPr>
        <w:spacing w:after="0" w:line="240" w:lineRule="auto"/>
      </w:pPr>
      <w:r>
        <w:separator/>
      </w:r>
    </w:p>
  </w:endnote>
  <w:endnote w:type="continuationSeparator" w:id="0">
    <w:p w:rsidR="00954105" w:rsidRDefault="00954105" w:rsidP="0007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4CF" w:rsidRDefault="006B0D15" w:rsidP="000774CF">
    <w:pPr>
      <w:pStyle w:val="Footer"/>
      <w:pBdr>
        <w:top w:val="single" w:sz="4" w:space="1" w:color="auto"/>
      </w:pBdr>
      <w:tabs>
        <w:tab w:val="clear" w:pos="9360"/>
        <w:tab w:val="right" w:pos="10800"/>
      </w:tabs>
    </w:pPr>
    <w:r>
      <w:t>PLN</w:t>
    </w:r>
    <w:r w:rsidR="00102236">
      <w:t>50860</w:t>
    </w:r>
    <w:r w:rsidR="00E6430D">
      <w:t xml:space="preserve"> </w:t>
    </w:r>
    <w:r w:rsidR="000774CF">
      <w:t>SSDE</w:t>
    </w:r>
    <w:r w:rsidR="000774CF">
      <w:tab/>
    </w:r>
    <w:r w:rsidR="000774CF">
      <w:tab/>
      <w:t xml:space="preserve">Page </w:t>
    </w:r>
    <w:r w:rsidR="000774CF">
      <w:fldChar w:fldCharType="begin"/>
    </w:r>
    <w:r w:rsidR="000774CF">
      <w:instrText xml:space="preserve"> PAGE   \* MERGEFORMAT </w:instrText>
    </w:r>
    <w:r w:rsidR="000774CF">
      <w:fldChar w:fldCharType="separate"/>
    </w:r>
    <w:r w:rsidR="00FB479E">
      <w:rPr>
        <w:noProof/>
      </w:rPr>
      <w:t>5</w:t>
    </w:r>
    <w:r w:rsidR="000774CF">
      <w:rPr>
        <w:noProof/>
      </w:rPr>
      <w:fldChar w:fldCharType="end"/>
    </w:r>
  </w:p>
  <w:p w:rsidR="000774CF" w:rsidRDefault="00077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105" w:rsidRDefault="00954105" w:rsidP="000774CF">
      <w:pPr>
        <w:spacing w:after="0" w:line="240" w:lineRule="auto"/>
      </w:pPr>
      <w:r>
        <w:separator/>
      </w:r>
    </w:p>
  </w:footnote>
  <w:footnote w:type="continuationSeparator" w:id="0">
    <w:p w:rsidR="00954105" w:rsidRDefault="00954105" w:rsidP="00077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B2E12"/>
    <w:multiLevelType w:val="hybridMultilevel"/>
    <w:tmpl w:val="2D8842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3430AE"/>
    <w:multiLevelType w:val="hybridMultilevel"/>
    <w:tmpl w:val="77B6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1C24"/>
    <w:multiLevelType w:val="hybridMultilevel"/>
    <w:tmpl w:val="AA0E6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25E5E"/>
    <w:multiLevelType w:val="hybridMultilevel"/>
    <w:tmpl w:val="FB92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30129"/>
    <w:multiLevelType w:val="hybridMultilevel"/>
    <w:tmpl w:val="5D4C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301CB"/>
    <w:multiLevelType w:val="hybridMultilevel"/>
    <w:tmpl w:val="9FF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D088D"/>
    <w:multiLevelType w:val="hybridMultilevel"/>
    <w:tmpl w:val="72ACC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211F6"/>
    <w:multiLevelType w:val="hybridMultilevel"/>
    <w:tmpl w:val="8EEE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C3DEF"/>
    <w:multiLevelType w:val="hybridMultilevel"/>
    <w:tmpl w:val="535432B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EC"/>
    <w:rsid w:val="00005E4C"/>
    <w:rsid w:val="00015391"/>
    <w:rsid w:val="00015D79"/>
    <w:rsid w:val="000552F5"/>
    <w:rsid w:val="00075C1D"/>
    <w:rsid w:val="000774CF"/>
    <w:rsid w:val="00080C7F"/>
    <w:rsid w:val="000949E9"/>
    <w:rsid w:val="00095E05"/>
    <w:rsid w:val="00097508"/>
    <w:rsid w:val="000D49E5"/>
    <w:rsid w:val="000F05CB"/>
    <w:rsid w:val="00102236"/>
    <w:rsid w:val="0012411F"/>
    <w:rsid w:val="001247C4"/>
    <w:rsid w:val="0014080B"/>
    <w:rsid w:val="00142B25"/>
    <w:rsid w:val="001800C7"/>
    <w:rsid w:val="00196A22"/>
    <w:rsid w:val="001A681A"/>
    <w:rsid w:val="001B75D6"/>
    <w:rsid w:val="001B7A80"/>
    <w:rsid w:val="002203B2"/>
    <w:rsid w:val="00256A04"/>
    <w:rsid w:val="00262670"/>
    <w:rsid w:val="0028584F"/>
    <w:rsid w:val="002A0A9B"/>
    <w:rsid w:val="002B5EC5"/>
    <w:rsid w:val="002C5465"/>
    <w:rsid w:val="00324B21"/>
    <w:rsid w:val="0034146C"/>
    <w:rsid w:val="003E5391"/>
    <w:rsid w:val="003F00DF"/>
    <w:rsid w:val="003F40F9"/>
    <w:rsid w:val="004146D3"/>
    <w:rsid w:val="00450683"/>
    <w:rsid w:val="004536A4"/>
    <w:rsid w:val="00457A46"/>
    <w:rsid w:val="00490052"/>
    <w:rsid w:val="004D01C4"/>
    <w:rsid w:val="004D12E0"/>
    <w:rsid w:val="004D3F57"/>
    <w:rsid w:val="004D501B"/>
    <w:rsid w:val="004E606E"/>
    <w:rsid w:val="005131AA"/>
    <w:rsid w:val="0051328A"/>
    <w:rsid w:val="005163AA"/>
    <w:rsid w:val="005308AF"/>
    <w:rsid w:val="00545ABB"/>
    <w:rsid w:val="0055275B"/>
    <w:rsid w:val="00557278"/>
    <w:rsid w:val="00574489"/>
    <w:rsid w:val="00583605"/>
    <w:rsid w:val="005A2875"/>
    <w:rsid w:val="005B2F2F"/>
    <w:rsid w:val="005C059D"/>
    <w:rsid w:val="005C0A2D"/>
    <w:rsid w:val="005E4F13"/>
    <w:rsid w:val="005E707A"/>
    <w:rsid w:val="006003FB"/>
    <w:rsid w:val="00600B9E"/>
    <w:rsid w:val="00626615"/>
    <w:rsid w:val="006318D0"/>
    <w:rsid w:val="00634D4E"/>
    <w:rsid w:val="006478B6"/>
    <w:rsid w:val="00667461"/>
    <w:rsid w:val="0069411F"/>
    <w:rsid w:val="006B0D15"/>
    <w:rsid w:val="006B41D2"/>
    <w:rsid w:val="006E05BB"/>
    <w:rsid w:val="006F11B6"/>
    <w:rsid w:val="007400A0"/>
    <w:rsid w:val="007605DA"/>
    <w:rsid w:val="0076452C"/>
    <w:rsid w:val="00767BFF"/>
    <w:rsid w:val="00770A57"/>
    <w:rsid w:val="00781857"/>
    <w:rsid w:val="00784826"/>
    <w:rsid w:val="007914B0"/>
    <w:rsid w:val="007A332A"/>
    <w:rsid w:val="007B7E86"/>
    <w:rsid w:val="00804F34"/>
    <w:rsid w:val="00820494"/>
    <w:rsid w:val="00824D78"/>
    <w:rsid w:val="00833A71"/>
    <w:rsid w:val="00855A15"/>
    <w:rsid w:val="00897B9A"/>
    <w:rsid w:val="009240EF"/>
    <w:rsid w:val="00936837"/>
    <w:rsid w:val="0095204C"/>
    <w:rsid w:val="00954105"/>
    <w:rsid w:val="00974660"/>
    <w:rsid w:val="009811F9"/>
    <w:rsid w:val="009819D3"/>
    <w:rsid w:val="009879EC"/>
    <w:rsid w:val="00991DB4"/>
    <w:rsid w:val="009E1FA6"/>
    <w:rsid w:val="00A30324"/>
    <w:rsid w:val="00A4595A"/>
    <w:rsid w:val="00A96EFB"/>
    <w:rsid w:val="00AB61A4"/>
    <w:rsid w:val="00AC711D"/>
    <w:rsid w:val="00AD17CA"/>
    <w:rsid w:val="00AD28F3"/>
    <w:rsid w:val="00AE6A78"/>
    <w:rsid w:val="00AF7945"/>
    <w:rsid w:val="00B03FBA"/>
    <w:rsid w:val="00B1446E"/>
    <w:rsid w:val="00B1544D"/>
    <w:rsid w:val="00B32D55"/>
    <w:rsid w:val="00B4359C"/>
    <w:rsid w:val="00B471C0"/>
    <w:rsid w:val="00B50E59"/>
    <w:rsid w:val="00B569CC"/>
    <w:rsid w:val="00B613DE"/>
    <w:rsid w:val="00B76A52"/>
    <w:rsid w:val="00B90A62"/>
    <w:rsid w:val="00BB7F81"/>
    <w:rsid w:val="00BD397B"/>
    <w:rsid w:val="00C31255"/>
    <w:rsid w:val="00C3136C"/>
    <w:rsid w:val="00C319D6"/>
    <w:rsid w:val="00C41E17"/>
    <w:rsid w:val="00C4554F"/>
    <w:rsid w:val="00C62D88"/>
    <w:rsid w:val="00C96238"/>
    <w:rsid w:val="00CB6961"/>
    <w:rsid w:val="00CC5C19"/>
    <w:rsid w:val="00CC7FC2"/>
    <w:rsid w:val="00D347A9"/>
    <w:rsid w:val="00D43942"/>
    <w:rsid w:val="00D66866"/>
    <w:rsid w:val="00D957E5"/>
    <w:rsid w:val="00DA1378"/>
    <w:rsid w:val="00DD09FB"/>
    <w:rsid w:val="00DE2548"/>
    <w:rsid w:val="00DE5B08"/>
    <w:rsid w:val="00DF3C08"/>
    <w:rsid w:val="00E12B96"/>
    <w:rsid w:val="00E44DF6"/>
    <w:rsid w:val="00E6430D"/>
    <w:rsid w:val="00EC0800"/>
    <w:rsid w:val="00EE4583"/>
    <w:rsid w:val="00EF382F"/>
    <w:rsid w:val="00EF49AC"/>
    <w:rsid w:val="00EF598F"/>
    <w:rsid w:val="00F27BA0"/>
    <w:rsid w:val="00F3294D"/>
    <w:rsid w:val="00F355C4"/>
    <w:rsid w:val="00F62B3B"/>
    <w:rsid w:val="00F62EE0"/>
    <w:rsid w:val="00F95EBE"/>
    <w:rsid w:val="00FB43B1"/>
    <w:rsid w:val="00FB479E"/>
    <w:rsid w:val="00FC6148"/>
    <w:rsid w:val="00FD6848"/>
    <w:rsid w:val="00FF1553"/>
    <w:rsid w:val="00FF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BCE0"/>
  <w15:chartTrackingRefBased/>
  <w15:docId w15:val="{66BB1677-E829-454E-954C-0F479F93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aliases w:val="4"/>
    <w:basedOn w:val="Normal"/>
    <w:next w:val="Normal"/>
    <w:link w:val="Heading4Char"/>
    <w:uiPriority w:val="9"/>
    <w:unhideWhenUsed/>
    <w:qFormat/>
    <w:rsid w:val="00B4359C"/>
    <w:pPr>
      <w:keepNext/>
      <w:spacing w:before="240" w:after="60" w:line="240" w:lineRule="auto"/>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unhideWhenUsed/>
    <w:qFormat/>
    <w:rsid w:val="0076452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80B"/>
    <w:pPr>
      <w:ind w:left="720"/>
      <w:contextualSpacing/>
    </w:pPr>
  </w:style>
  <w:style w:type="paragraph" w:styleId="Header">
    <w:name w:val="header"/>
    <w:basedOn w:val="Normal"/>
    <w:link w:val="HeaderChar"/>
    <w:uiPriority w:val="99"/>
    <w:unhideWhenUsed/>
    <w:rsid w:val="00077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CF"/>
  </w:style>
  <w:style w:type="paragraph" w:styleId="Footer">
    <w:name w:val="footer"/>
    <w:basedOn w:val="Normal"/>
    <w:link w:val="FooterChar"/>
    <w:uiPriority w:val="99"/>
    <w:unhideWhenUsed/>
    <w:rsid w:val="00077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CF"/>
  </w:style>
  <w:style w:type="paragraph" w:styleId="BalloonText">
    <w:name w:val="Balloon Text"/>
    <w:basedOn w:val="Normal"/>
    <w:link w:val="BalloonTextChar"/>
    <w:uiPriority w:val="99"/>
    <w:semiHidden/>
    <w:unhideWhenUsed/>
    <w:rsid w:val="0007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CF"/>
    <w:rPr>
      <w:rFonts w:ascii="Segoe UI" w:hAnsi="Segoe UI" w:cs="Segoe UI"/>
      <w:sz w:val="18"/>
      <w:szCs w:val="18"/>
    </w:rPr>
  </w:style>
  <w:style w:type="paragraph" w:styleId="ListBullet">
    <w:name w:val="List Bullet"/>
    <w:basedOn w:val="Normal"/>
    <w:rsid w:val="000774CF"/>
    <w:pPr>
      <w:spacing w:after="0" w:line="240" w:lineRule="auto"/>
      <w:ind w:left="360" w:hanging="360"/>
    </w:pPr>
    <w:rPr>
      <w:rFonts w:ascii="Arial" w:eastAsia="Times New Roman" w:hAnsi="Arial" w:cs="Times New Roman"/>
      <w:sz w:val="24"/>
      <w:szCs w:val="20"/>
    </w:rPr>
  </w:style>
  <w:style w:type="character" w:customStyle="1" w:styleId="Heading4Char">
    <w:name w:val="Heading 4 Char"/>
    <w:aliases w:val="4 Char"/>
    <w:basedOn w:val="DefaultParagraphFont"/>
    <w:link w:val="Heading4"/>
    <w:uiPriority w:val="9"/>
    <w:rsid w:val="00B4359C"/>
    <w:rPr>
      <w:rFonts w:eastAsiaTheme="minorEastAsia" w:cs="Times New Roman"/>
      <w:b/>
      <w:bCs/>
      <w:sz w:val="28"/>
      <w:szCs w:val="28"/>
      <w:lang w:bidi="en-US"/>
    </w:rPr>
  </w:style>
  <w:style w:type="character" w:customStyle="1" w:styleId="apple-converted-space">
    <w:name w:val="apple-converted-space"/>
    <w:basedOn w:val="DefaultParagraphFont"/>
    <w:rsid w:val="0076452C"/>
  </w:style>
  <w:style w:type="character" w:customStyle="1" w:styleId="Heading5Char">
    <w:name w:val="Heading 5 Char"/>
    <w:basedOn w:val="DefaultParagraphFont"/>
    <w:link w:val="Heading5"/>
    <w:uiPriority w:val="9"/>
    <w:rsid w:val="0076452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8105">
      <w:bodyDiv w:val="1"/>
      <w:marLeft w:val="0"/>
      <w:marRight w:val="0"/>
      <w:marTop w:val="0"/>
      <w:marBottom w:val="0"/>
      <w:divBdr>
        <w:top w:val="none" w:sz="0" w:space="0" w:color="auto"/>
        <w:left w:val="none" w:sz="0" w:space="0" w:color="auto"/>
        <w:bottom w:val="none" w:sz="0" w:space="0" w:color="auto"/>
        <w:right w:val="none" w:sz="0" w:space="0" w:color="auto"/>
      </w:divBdr>
    </w:div>
    <w:div w:id="964889994">
      <w:bodyDiv w:val="1"/>
      <w:marLeft w:val="0"/>
      <w:marRight w:val="0"/>
      <w:marTop w:val="0"/>
      <w:marBottom w:val="0"/>
      <w:divBdr>
        <w:top w:val="none" w:sz="0" w:space="0" w:color="auto"/>
        <w:left w:val="none" w:sz="0" w:space="0" w:color="auto"/>
        <w:bottom w:val="none" w:sz="0" w:space="0" w:color="auto"/>
        <w:right w:val="none" w:sz="0" w:space="0" w:color="auto"/>
      </w:divBdr>
    </w:div>
    <w:div w:id="1034575601">
      <w:bodyDiv w:val="1"/>
      <w:marLeft w:val="0"/>
      <w:marRight w:val="0"/>
      <w:marTop w:val="0"/>
      <w:marBottom w:val="0"/>
      <w:divBdr>
        <w:top w:val="none" w:sz="0" w:space="0" w:color="auto"/>
        <w:left w:val="none" w:sz="0" w:space="0" w:color="auto"/>
        <w:bottom w:val="none" w:sz="0" w:space="0" w:color="auto"/>
        <w:right w:val="none" w:sz="0" w:space="0" w:color="auto"/>
      </w:divBdr>
    </w:div>
    <w:div w:id="1846238442">
      <w:bodyDiv w:val="1"/>
      <w:marLeft w:val="0"/>
      <w:marRight w:val="0"/>
      <w:marTop w:val="0"/>
      <w:marBottom w:val="0"/>
      <w:divBdr>
        <w:top w:val="none" w:sz="0" w:space="0" w:color="auto"/>
        <w:left w:val="none" w:sz="0" w:space="0" w:color="auto"/>
        <w:bottom w:val="none" w:sz="0" w:space="0" w:color="auto"/>
        <w:right w:val="none" w:sz="0" w:space="0" w:color="auto"/>
      </w:divBdr>
    </w:div>
    <w:div w:id="213189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99B6-3FAE-4D35-8AFF-6C6386CB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6</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Carr</dc:creator>
  <cp:keywords/>
  <dc:description/>
  <cp:lastModifiedBy>Ann Hillier</cp:lastModifiedBy>
  <cp:revision>31</cp:revision>
  <cp:lastPrinted>2017-09-21T17:11:00Z</cp:lastPrinted>
  <dcterms:created xsi:type="dcterms:W3CDTF">2017-06-02T18:33:00Z</dcterms:created>
  <dcterms:modified xsi:type="dcterms:W3CDTF">2017-10-06T16:18:00Z</dcterms:modified>
</cp:coreProperties>
</file>